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spacing w:after="113" w:before="0" w:line="360" w:lineRule="auto"/>
        <w:ind w:left="45"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Minuta padrão da AGU para compras, disponível em: </w:t>
      </w:r>
      <w:hyperlink r:id="rId9">
        <w:r w:rsidDel="00000000" w:rsidR="00000000" w:rsidRPr="00000000">
          <w:rPr>
            <w:rFonts w:ascii="Times New Roman" w:cs="Times New Roman" w:eastAsia="Times New Roman" w:hAnsi="Times New Roman"/>
            <w:sz w:val="20"/>
            <w:szCs w:val="20"/>
            <w:u w:val="single"/>
            <w:rtl w:val="0"/>
          </w:rPr>
          <w:t xml:space="preserve">https://www.gov.br/agu/pt-br/composicao/cgu/cgu/modelos/licitacoesecontratos/14133/modelos-da-lei-no-14-133-21-para-pregao-e-concorrencia</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02">
      <w:pPr>
        <w:widowControl w:val="0"/>
        <w:spacing w:after="113" w:before="0" w:line="360" w:lineRule="auto"/>
        <w:ind w:left="0" w:right="0" w:firstLine="0"/>
        <w:jc w:val="both"/>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3">
      <w:pPr>
        <w:widowControl w:val="0"/>
        <w:spacing w:after="113" w:before="0" w:line="360" w:lineRule="auto"/>
        <w:ind w:left="45" w:righ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ATA DE REGISTRO DE PREÇOS XXX/XXXX</w:t>
      </w:r>
      <w:r w:rsidDel="00000000" w:rsidR="00000000" w:rsidRPr="00000000">
        <w:rPr>
          <w:rtl w:val="0"/>
        </w:rPr>
      </w:r>
    </w:p>
    <w:p w:rsidR="00000000" w:rsidDel="00000000" w:rsidP="00000000" w:rsidRDefault="00000000" w:rsidRPr="00000000" w14:paraId="00000004">
      <w:pPr>
        <w:spacing w:after="113" w:before="0" w:line="360" w:lineRule="auto"/>
        <w:ind w:left="45" w:righ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PREGÃO ELETRÔNICO N° 24/2023</w:t>
      </w:r>
      <w:r w:rsidDel="00000000" w:rsidR="00000000" w:rsidRPr="00000000">
        <w:rPr>
          <w:rtl w:val="0"/>
        </w:rPr>
      </w:r>
    </w:p>
    <w:p w:rsidR="00000000" w:rsidDel="00000000" w:rsidP="00000000" w:rsidRDefault="00000000" w:rsidRPr="00000000" w14:paraId="00000005">
      <w:pPr>
        <w:widowControl w:val="0"/>
        <w:spacing w:after="113" w:before="0" w:line="360" w:lineRule="auto"/>
        <w:ind w:left="45" w:righ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z w:val="20"/>
          <w:szCs w:val="20"/>
          <w:rtl w:val="0"/>
        </w:rPr>
        <w:t xml:space="preserve">Processo Administrativo N.º </w:t>
      </w:r>
      <w:r w:rsidDel="00000000" w:rsidR="00000000" w:rsidRPr="00000000">
        <w:rPr>
          <w:rFonts w:ascii="Times New Roman" w:cs="Times New Roman" w:eastAsia="Times New Roman" w:hAnsi="Times New Roman"/>
          <w:sz w:val="20"/>
          <w:szCs w:val="20"/>
          <w:rtl w:val="0"/>
        </w:rPr>
        <w:t xml:space="preserve">23422.015585/2023-00</w:t>
      </w:r>
    </w:p>
    <w:p w:rsidR="00000000" w:rsidDel="00000000" w:rsidP="00000000" w:rsidRDefault="00000000" w:rsidRPr="00000000" w14:paraId="00000006">
      <w:pPr>
        <w:widowControl w:val="0"/>
        <w:spacing w:after="113" w:before="0" w:line="360" w:lineRule="auto"/>
        <w:ind w:left="0" w:right="-30" w:firstLine="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779"/>
          <w:tab w:val="right" w:leader="none" w:pos="9198"/>
        </w:tabs>
        <w:spacing w:after="120" w:before="120" w:line="360" w:lineRule="auto"/>
        <w:ind w:left="0" w:right="-28" w:firstLine="1418"/>
        <w:jc w:val="both"/>
        <w:rPr>
          <w:rFonts w:ascii="Times New Roman" w:cs="Times New Roman" w:eastAsia="Times New Roman" w:hAnsi="Times New Roman"/>
          <w:i w:val="0"/>
          <w:smallCaps w:val="0"/>
          <w:strike w:val="0"/>
          <w:sz w:val="20"/>
          <w:szCs w:val="20"/>
          <w:highlight w:val="white"/>
          <w:u w:val="none"/>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A </w:t>
      </w: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Universidade Federal da Integração Latino- Americana (UNILA)</w:t>
      </w: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 com sede </w:t>
      </w: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na Avenida Tancredo Neves, nº 3.147, Itaipu B</w:t>
      </w: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 na cidade de </w:t>
      </w: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Foz do Iguaçu, Estado do Paraná, CEP 85.867-000, inscrito(a) no CNPJ/MF sob o nº 11.806.275/0001-33</w:t>
      </w: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 neste ato representado(a) pelo(a) ...... (</w:t>
      </w:r>
      <w:r w:rsidDel="00000000" w:rsidR="00000000" w:rsidRPr="00000000">
        <w:rPr>
          <w:rFonts w:ascii="Times New Roman" w:cs="Times New Roman" w:eastAsia="Times New Roman" w:hAnsi="Times New Roman"/>
          <w:i w:val="1"/>
          <w:smallCaps w:val="0"/>
          <w:strike w:val="0"/>
          <w:sz w:val="20"/>
          <w:szCs w:val="20"/>
          <w:u w:val="none"/>
          <w:shd w:fill="auto" w:val="clear"/>
          <w:vertAlign w:val="baseline"/>
          <w:rtl w:val="0"/>
        </w:rPr>
        <w:t xml:space="preserve">cargo e nome</w:t>
      </w: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 nomeado(a) pela  Portaria nº ...... de ..... de ...... de 202..., publicada no ....... de ..... de ....... de ....., portador da matrícula funcional nº ...................,, considerando o julgamento da licitação na modalidade de pregão, na forma eletrônica, para REGISTRO DE PREÇOS</w:t>
      </w:r>
      <w:r w:rsidDel="00000000" w:rsidR="00000000" w:rsidRPr="00000000">
        <w:rPr>
          <w:rFonts w:ascii="Times New Roman" w:cs="Times New Roman" w:eastAsia="Times New Roman" w:hAnsi="Times New Roman"/>
          <w:i w:val="0"/>
          <w:smallCaps w:val="0"/>
          <w:strike w:val="0"/>
          <w:sz w:val="20"/>
          <w:szCs w:val="20"/>
          <w:highlight w:val="white"/>
          <w:u w:val="none"/>
          <w:vertAlign w:val="baseline"/>
          <w:rtl w:val="0"/>
        </w:rPr>
        <w:t xml:space="preserve"> </w:t>
      </w:r>
      <w:r w:rsidDel="00000000" w:rsidR="00000000" w:rsidRPr="00000000">
        <w:rPr>
          <w:rFonts w:ascii="Times New Roman" w:cs="Times New Roman" w:eastAsia="Times New Roman" w:hAnsi="Times New Roman"/>
          <w:i w:val="0"/>
          <w:smallCaps w:val="0"/>
          <w:strike w:val="0"/>
          <w:sz w:val="20"/>
          <w:szCs w:val="20"/>
          <w:highlight w:val="white"/>
          <w:u w:val="none"/>
          <w:vertAlign w:val="baseline"/>
          <w:rtl w:val="0"/>
        </w:rPr>
        <w:t xml:space="preserve">nº </w:t>
      </w:r>
      <w:r w:rsidDel="00000000" w:rsidR="00000000" w:rsidRPr="00000000">
        <w:rPr>
          <w:rFonts w:ascii="Times New Roman" w:cs="Times New Roman" w:eastAsia="Times New Roman" w:hAnsi="Times New Roman"/>
          <w:sz w:val="20"/>
          <w:szCs w:val="20"/>
          <w:highlight w:val="white"/>
          <w:rtl w:val="0"/>
        </w:rPr>
        <w:t xml:space="preserve">24</w:t>
      </w:r>
      <w:r w:rsidDel="00000000" w:rsidR="00000000" w:rsidRPr="00000000">
        <w:rPr>
          <w:rFonts w:ascii="Times New Roman" w:cs="Times New Roman" w:eastAsia="Times New Roman" w:hAnsi="Times New Roman"/>
          <w:i w:val="0"/>
          <w:smallCaps w:val="0"/>
          <w:strike w:val="0"/>
          <w:sz w:val="20"/>
          <w:szCs w:val="20"/>
          <w:highlight w:val="white"/>
          <w:u w:val="none"/>
          <w:vertAlign w:val="baseline"/>
          <w:rtl w:val="0"/>
        </w:rPr>
        <w:t xml:space="preserve">/2023</w:t>
      </w:r>
      <w:r w:rsidDel="00000000" w:rsidR="00000000" w:rsidRPr="00000000">
        <w:rPr>
          <w:rFonts w:ascii="Times New Roman" w:cs="Times New Roman" w:eastAsia="Times New Roman" w:hAnsi="Times New Roman"/>
          <w:i w:val="0"/>
          <w:smallCaps w:val="0"/>
          <w:strike w:val="0"/>
          <w:sz w:val="20"/>
          <w:szCs w:val="20"/>
          <w:highlight w:val="white"/>
          <w:u w:val="none"/>
          <w:vertAlign w:val="baseline"/>
          <w:rtl w:val="0"/>
        </w:rPr>
        <w:t xml:space="preserve">, publicada no ...... de ...../...../202....., processo administrativo </w:t>
      </w:r>
      <w:r w:rsidDel="00000000" w:rsidR="00000000" w:rsidRPr="00000000">
        <w:rPr>
          <w:rFonts w:ascii="Times New Roman" w:cs="Times New Roman" w:eastAsia="Times New Roman" w:hAnsi="Times New Roman"/>
          <w:i w:val="0"/>
          <w:smallCaps w:val="0"/>
          <w:strike w:val="0"/>
          <w:sz w:val="20"/>
          <w:szCs w:val="20"/>
          <w:highlight w:val="white"/>
          <w:u w:val="none"/>
          <w:vertAlign w:val="baseline"/>
          <w:rtl w:val="0"/>
        </w:rPr>
        <w:t xml:space="preserve">n.º 23422.0</w:t>
      </w:r>
      <w:r w:rsidDel="00000000" w:rsidR="00000000" w:rsidRPr="00000000">
        <w:rPr>
          <w:rFonts w:ascii="Times New Roman" w:cs="Times New Roman" w:eastAsia="Times New Roman" w:hAnsi="Times New Roman"/>
          <w:sz w:val="20"/>
          <w:szCs w:val="20"/>
          <w:highlight w:val="white"/>
          <w:rtl w:val="0"/>
        </w:rPr>
        <w:t xml:space="preserve">15585</w:t>
      </w:r>
      <w:r w:rsidDel="00000000" w:rsidR="00000000" w:rsidRPr="00000000">
        <w:rPr>
          <w:rFonts w:ascii="Times New Roman" w:cs="Times New Roman" w:eastAsia="Times New Roman" w:hAnsi="Times New Roman"/>
          <w:i w:val="0"/>
          <w:smallCaps w:val="0"/>
          <w:strike w:val="0"/>
          <w:sz w:val="20"/>
          <w:szCs w:val="20"/>
          <w:highlight w:val="white"/>
          <w:u w:val="none"/>
          <w:vertAlign w:val="baseline"/>
          <w:rtl w:val="0"/>
        </w:rPr>
        <w:t xml:space="preserve">/2023-</w:t>
      </w:r>
      <w:r w:rsidDel="00000000" w:rsidR="00000000" w:rsidRPr="00000000">
        <w:rPr>
          <w:rFonts w:ascii="Times New Roman" w:cs="Times New Roman" w:eastAsia="Times New Roman" w:hAnsi="Times New Roman"/>
          <w:sz w:val="20"/>
          <w:szCs w:val="20"/>
          <w:highlight w:val="white"/>
          <w:rtl w:val="0"/>
        </w:rPr>
        <w:t xml:space="preserve">00</w:t>
      </w:r>
      <w:r w:rsidDel="00000000" w:rsidR="00000000" w:rsidRPr="00000000">
        <w:rPr>
          <w:rFonts w:ascii="Times New Roman" w:cs="Times New Roman" w:eastAsia="Times New Roman" w:hAnsi="Times New Roman"/>
          <w:i w:val="0"/>
          <w:smallCaps w:val="0"/>
          <w:strike w:val="0"/>
          <w:sz w:val="20"/>
          <w:szCs w:val="20"/>
          <w:highlight w:val="white"/>
          <w:u w:val="none"/>
          <w:vertAlign w:val="baseline"/>
          <w:rtl w:val="0"/>
        </w:rPr>
        <w:t xml:space="preserve">,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rsidR="00000000" w:rsidDel="00000000" w:rsidP="00000000" w:rsidRDefault="00000000" w:rsidRPr="00000000" w14:paraId="00000008">
      <w:pPr>
        <w:widowControl w:val="0"/>
        <w:numPr>
          <w:ilvl w:val="0"/>
          <w:numId w:val="2"/>
        </w:numPr>
        <w:spacing w:after="113" w:before="453" w:line="360" w:lineRule="auto"/>
        <w:ind w:left="0" w:right="0" w:firstLine="0"/>
        <w:jc w:val="both"/>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b w:val="1"/>
          <w:sz w:val="20"/>
          <w:szCs w:val="20"/>
          <w:highlight w:val="white"/>
          <w:rtl w:val="0"/>
        </w:rPr>
        <w:t xml:space="preserve">DO OBJETO</w:t>
      </w:r>
      <w:r w:rsidDel="00000000" w:rsidR="00000000" w:rsidRPr="00000000">
        <w:rPr>
          <w:rtl w:val="0"/>
        </w:rPr>
      </w:r>
    </w:p>
    <w:p w:rsidR="00000000" w:rsidDel="00000000" w:rsidP="00000000" w:rsidRDefault="00000000" w:rsidRPr="00000000" w14:paraId="00000009">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453" w:before="0" w:line="360" w:lineRule="auto"/>
        <w:ind w:left="0"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highlight w:val="white"/>
          <w:u w:val="none"/>
          <w:vertAlign w:val="baseline"/>
          <w:rtl w:val="0"/>
        </w:rPr>
        <w:t xml:space="preserve">A presente Ata tem por objeto o registro de preços para a eventual </w:t>
      </w:r>
      <w:r w:rsidDel="00000000" w:rsidR="00000000" w:rsidRPr="00000000">
        <w:rPr>
          <w:rFonts w:ascii="Times New Roman" w:cs="Times New Roman" w:eastAsia="Times New Roman" w:hAnsi="Times New Roman"/>
          <w:i w:val="0"/>
          <w:smallCaps w:val="0"/>
          <w:strike w:val="0"/>
          <w:sz w:val="20"/>
          <w:szCs w:val="20"/>
          <w:highlight w:val="white"/>
          <w:u w:val="none"/>
          <w:vertAlign w:val="baseline"/>
          <w:rtl w:val="0"/>
        </w:rPr>
        <w:t xml:space="preserve">c</w:t>
      </w:r>
      <w:r w:rsidDel="00000000" w:rsidR="00000000" w:rsidRPr="00000000">
        <w:rPr>
          <w:rFonts w:ascii="Times New Roman" w:cs="Times New Roman" w:eastAsia="Times New Roman" w:hAnsi="Times New Roman"/>
          <w:sz w:val="20"/>
          <w:szCs w:val="20"/>
          <w:highlight w:val="white"/>
          <w:rtl w:val="0"/>
        </w:rPr>
        <w:t xml:space="preserve">ontratação de empresa especializada para fornecimento e instalação de reservatórios térmicos de água (Boilers), incluindo todos os materiais, equipamentos e ferramental necessários</w:t>
      </w:r>
      <w:r w:rsidDel="00000000" w:rsidR="00000000" w:rsidRPr="00000000">
        <w:rPr>
          <w:rFonts w:ascii="Times New Roman" w:cs="Times New Roman" w:eastAsia="Times New Roman" w:hAnsi="Times New Roman"/>
          <w:sz w:val="20"/>
          <w:szCs w:val="20"/>
          <w:highlight w:val="white"/>
          <w:rtl w:val="0"/>
        </w:rPr>
        <w:t xml:space="preserve">, conforme especificações do </w:t>
      </w:r>
      <w:r w:rsidDel="00000000" w:rsidR="00000000" w:rsidRPr="00000000">
        <w:rPr>
          <w:rFonts w:ascii="Times New Roman" w:cs="Times New Roman" w:eastAsia="Times New Roman" w:hAnsi="Times New Roman"/>
          <w:i w:val="0"/>
          <w:smallCaps w:val="0"/>
          <w:strike w:val="0"/>
          <w:sz w:val="20"/>
          <w:szCs w:val="20"/>
          <w:highlight w:val="white"/>
          <w:u w:val="none"/>
          <w:vertAlign w:val="baseline"/>
          <w:rtl w:val="0"/>
        </w:rPr>
        <w:t xml:space="preserve">Termo de Referência, anexo do edital de Licitação nº </w:t>
      </w:r>
      <w:r w:rsidDel="00000000" w:rsidR="00000000" w:rsidRPr="00000000">
        <w:rPr>
          <w:rFonts w:ascii="Times New Roman" w:cs="Times New Roman" w:eastAsia="Times New Roman" w:hAnsi="Times New Roman"/>
          <w:sz w:val="20"/>
          <w:szCs w:val="20"/>
          <w:highlight w:val="white"/>
          <w:rtl w:val="0"/>
        </w:rPr>
        <w:t xml:space="preserve">24</w:t>
      </w:r>
      <w:r w:rsidDel="00000000" w:rsidR="00000000" w:rsidRPr="00000000">
        <w:rPr>
          <w:rFonts w:ascii="Times New Roman" w:cs="Times New Roman" w:eastAsia="Times New Roman" w:hAnsi="Times New Roman"/>
          <w:i w:val="0"/>
          <w:smallCaps w:val="0"/>
          <w:strike w:val="0"/>
          <w:sz w:val="20"/>
          <w:szCs w:val="20"/>
          <w:highlight w:val="white"/>
          <w:u w:val="none"/>
          <w:vertAlign w:val="baseline"/>
          <w:rtl w:val="0"/>
        </w:rPr>
        <w:t xml:space="preserve">/2023, que é</w:t>
      </w: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 parte integrante desta Ata, assim como as propostas cujos preços tenham sido registrados, independentemente de transcrição.</w:t>
      </w:r>
      <w:r w:rsidDel="00000000" w:rsidR="00000000" w:rsidRPr="00000000">
        <w:rPr>
          <w:rtl w:val="0"/>
        </w:rPr>
      </w:r>
    </w:p>
    <w:p w:rsidR="00000000" w:rsidDel="00000000" w:rsidP="00000000" w:rsidRDefault="00000000" w:rsidRPr="00000000" w14:paraId="0000000A">
      <w:pPr>
        <w:widowControl w:val="0"/>
        <w:numPr>
          <w:ilvl w:val="0"/>
          <w:numId w:val="2"/>
        </w:numPr>
        <w:spacing w:after="113" w:before="453" w:line="360" w:lineRule="auto"/>
        <w:ind w:left="0" w:righ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sz w:val="20"/>
          <w:szCs w:val="20"/>
          <w:rtl w:val="0"/>
        </w:rPr>
        <w:t xml:space="preserve">DOS PREÇOS, ESPECIFICAÇÕES E QUANTITATIVOS</w:t>
      </w:r>
      <w:r w:rsidDel="00000000" w:rsidR="00000000" w:rsidRPr="00000000">
        <w:rPr>
          <w:rtl w:val="0"/>
        </w:rPr>
      </w:r>
    </w:p>
    <w:p w:rsidR="00000000" w:rsidDel="00000000" w:rsidP="00000000" w:rsidRDefault="00000000" w:rsidRPr="00000000" w14:paraId="0000000B">
      <w:pPr>
        <w:widowControl w:val="0"/>
        <w:numPr>
          <w:ilvl w:val="1"/>
          <w:numId w:val="2"/>
        </w:numPr>
        <w:spacing w:after="113" w:before="0" w:line="360" w:lineRule="auto"/>
        <w:ind w:left="0" w:righ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O preço registrado, as especificações do objeto e as demais condições ofertadas na(s) proposta(s) são as que seguem: </w:t>
      </w:r>
      <w:r w:rsidDel="00000000" w:rsidR="00000000" w:rsidRPr="00000000">
        <w:rPr>
          <w:rtl w:val="0"/>
        </w:rPr>
      </w:r>
    </w:p>
    <w:p w:rsidR="00000000" w:rsidDel="00000000" w:rsidP="00000000" w:rsidRDefault="00000000" w:rsidRPr="00000000" w14:paraId="0000000C">
      <w:pPr>
        <w:widowControl w:val="0"/>
        <w:spacing w:after="113" w:before="0" w:line="360" w:lineRule="auto"/>
        <w:ind w:left="360" w:right="0" w:firstLine="0"/>
        <w:jc w:val="both"/>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D">
      <w:pPr>
        <w:widowControl w:val="0"/>
        <w:tabs>
          <w:tab w:val="center" w:leader="none" w:pos="4779"/>
          <w:tab w:val="right" w:leader="none" w:pos="9198"/>
        </w:tabs>
        <w:spacing w:after="113" w:before="0" w:line="360" w:lineRule="auto"/>
        <w:ind w:left="0" w:right="0" w:firstLine="0"/>
        <w:jc w:val="both"/>
        <w:rPr>
          <w:rFonts w:ascii="Times New Roman" w:cs="Times New Roman" w:eastAsia="Times New Roman" w:hAnsi="Times New Roman"/>
          <w:b w:val="1"/>
          <w:sz w:val="20"/>
          <w:szCs w:val="20"/>
        </w:rPr>
      </w:pPr>
      <w:r w:rsidDel="00000000" w:rsidR="00000000" w:rsidRPr="00000000">
        <w:rPr>
          <w:rtl w:val="0"/>
        </w:rPr>
      </w:r>
    </w:p>
    <w:bookmarkStart w:colFirst="0" w:colLast="0" w:name="bookmark=id.gjdgxs" w:id="0"/>
    <w:bookmarkEnd w:id="0"/>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779"/>
          <w:tab w:val="right" w:leader="none" w:pos="9198"/>
        </w:tabs>
        <w:spacing w:after="113" w:before="0" w:line="360" w:lineRule="auto"/>
        <w:ind w:left="0" w:right="0" w:firstLine="0"/>
        <w:jc w:val="both"/>
        <w:rPr>
          <w:rFonts w:ascii="Times New Roman" w:cs="Times New Roman" w:eastAsia="Times New Roman" w:hAnsi="Times New Roman"/>
          <w:b w:val="1"/>
          <w:i w:val="0"/>
          <w:smallCaps w:val="0"/>
          <w:strike w:val="0"/>
          <w:sz w:val="20"/>
          <w:szCs w:val="20"/>
          <w:u w:val="none"/>
          <w:shd w:fill="auto" w:val="clear"/>
          <w:vertAlign w:val="baseline"/>
        </w:rPr>
      </w:pPr>
      <w:r w:rsidDel="00000000" w:rsidR="00000000" w:rsidRPr="00000000">
        <w:rPr>
          <w:rtl w:val="0"/>
        </w:rPr>
      </w:r>
    </w:p>
    <w:tbl>
      <w:tblPr>
        <w:tblStyle w:val="Table1"/>
        <w:tblW w:w="8450.0" w:type="dxa"/>
        <w:jc w:val="left"/>
        <w:tblInd w:w="-10.0" w:type="dxa"/>
        <w:tblLayout w:type="fixed"/>
        <w:tblLook w:val="0000"/>
      </w:tblPr>
      <w:tblGrid>
        <w:gridCol w:w="738"/>
        <w:gridCol w:w="2053"/>
        <w:gridCol w:w="1522"/>
        <w:gridCol w:w="900"/>
        <w:gridCol w:w="1312"/>
        <w:gridCol w:w="1925"/>
        <w:tblGridChange w:id="0">
          <w:tblGrid>
            <w:gridCol w:w="738"/>
            <w:gridCol w:w="2053"/>
            <w:gridCol w:w="1522"/>
            <w:gridCol w:w="900"/>
            <w:gridCol w:w="1312"/>
            <w:gridCol w:w="1925"/>
          </w:tblGrid>
        </w:tblGridChange>
      </w:tblGrid>
      <w:tr>
        <w:trPr>
          <w:cantSplit w:val="0"/>
          <w:tblHeader w:val="0"/>
        </w:trPr>
        <w:tc>
          <w:tcPr>
            <w:gridSpan w:val="2"/>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Razão Social / CNPJ:</w:t>
            </w:r>
          </w:p>
        </w:tc>
        <w:tc>
          <w:tcPr>
            <w:gridSpan w:val="4"/>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sz w:val="20"/>
                <w:szCs w:val="20"/>
                <w:u w:val="none"/>
                <w:shd w:fill="auto" w:val="clear"/>
                <w:vertAlign w:val="baseline"/>
              </w:rPr>
            </w:pPr>
            <w:r w:rsidDel="00000000" w:rsidR="00000000" w:rsidRPr="00000000">
              <w:rPr>
                <w:rtl w:val="0"/>
              </w:rPr>
            </w:r>
          </w:p>
        </w:tc>
      </w:tr>
      <w:tr>
        <w:trPr>
          <w:cantSplit w:val="0"/>
          <w:tblHeader w:val="0"/>
        </w:trPr>
        <w:tc>
          <w:tcPr>
            <w:gridSpan w:val="2"/>
            <w:tcBorders>
              <w:top w:color="000000" w:space="0" w:sz="8"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Endereço:</w:t>
            </w:r>
          </w:p>
        </w:tc>
        <w:tc>
          <w:tcPr>
            <w:gridSpan w:val="4"/>
            <w:tcBorders>
              <w:top w:color="000000" w:space="0" w:sz="8"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sz w:val="20"/>
                <w:szCs w:val="20"/>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CEP:</w:t>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hanging="432"/>
              <w:jc w:val="center"/>
              <w:rPr>
                <w:rFonts w:ascii="Times New Roman" w:cs="Times New Roman" w:eastAsia="Times New Roman" w:hAnsi="Times New Roman"/>
                <w:i w:val="0"/>
                <w:smallCaps w:val="0"/>
                <w:strike w:val="0"/>
                <w:sz w:val="20"/>
                <w:szCs w:val="20"/>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Telefone:</w:t>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sz w:val="20"/>
                <w:szCs w:val="20"/>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E-mail:</w:t>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sz w:val="20"/>
                <w:szCs w:val="20"/>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Nome do Representante / CPF:</w:t>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sz w:val="20"/>
                <w:szCs w:val="20"/>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Item</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hanging="432"/>
              <w:jc w:val="both"/>
              <w:rPr>
                <w:rFonts w:ascii="Times New Roman" w:cs="Times New Roman" w:eastAsia="Times New Roman" w:hAnsi="Times New Roman"/>
                <w:b w:val="1"/>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     Especificação  (Marca e modelo se exigido no edital)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Quant.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Valor Unit.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Valor Total</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i w:val="0"/>
                <w:smallCaps w:val="0"/>
                <w:strike w:val="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sz w:val="20"/>
                <w:szCs w:val="20"/>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i w:val="0"/>
                <w:smallCaps w:val="0"/>
                <w:strike w:val="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sz w:val="20"/>
                <w:szCs w:val="20"/>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i w:val="0"/>
                <w:smallCaps w:val="0"/>
                <w:strike w:val="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sz w:val="20"/>
                <w:szCs w:val="20"/>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i w:val="0"/>
                <w:smallCaps w:val="0"/>
                <w:strike w:val="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sz w:val="20"/>
                <w:szCs w:val="20"/>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i w:val="0"/>
                <w:smallCaps w:val="0"/>
                <w:strike w:val="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sz w:val="20"/>
                <w:szCs w:val="20"/>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i w:val="0"/>
                <w:smallCaps w:val="0"/>
                <w:strike w:val="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sz w:val="20"/>
                <w:szCs w:val="20"/>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i w:val="0"/>
                <w:smallCaps w:val="0"/>
                <w:strike w:val="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sz w:val="20"/>
                <w:szCs w:val="20"/>
                <w:u w:val="none"/>
                <w:shd w:fill="auto" w:val="clear"/>
                <w:vertAlign w:val="baseline"/>
              </w:rPr>
            </w:pPr>
            <w:r w:rsidDel="00000000" w:rsidR="00000000" w:rsidRPr="00000000">
              <w:rPr>
                <w:rtl w:val="0"/>
              </w:rPr>
            </w:r>
          </w:p>
        </w:tc>
      </w:tr>
      <w:tr>
        <w:trPr>
          <w:cantSplit w:val="0"/>
          <w:tblHeader w:val="0"/>
        </w:trPr>
        <w:tc>
          <w:tcPr>
            <w:gridSpan w:val="5"/>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hanging="576"/>
              <w:jc w:val="center"/>
              <w:rPr>
                <w:rFonts w:ascii="Times New Roman" w:cs="Times New Roman" w:eastAsia="Times New Roman" w:hAnsi="Times New Roman"/>
                <w:b w:val="1"/>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TOTAL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69">
      <w:pPr>
        <w:widowControl w:val="0"/>
        <w:tabs>
          <w:tab w:val="center" w:leader="none" w:pos="4779"/>
          <w:tab w:val="right" w:leader="none" w:pos="9198"/>
        </w:tabs>
        <w:spacing w:after="113" w:before="0" w:line="360" w:lineRule="auto"/>
        <w:ind w:left="0" w:right="0" w:firstLine="0"/>
        <w:jc w:val="both"/>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6A">
      <w:pPr>
        <w:widowControl w:val="0"/>
        <w:numPr>
          <w:ilvl w:val="1"/>
          <w:numId w:val="2"/>
        </w:numPr>
        <w:spacing w:after="113" w:line="360" w:lineRule="auto"/>
        <w:ind w:left="1283" w:hanging="430.9999999999996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A listagem do cadastro de reserva referente ao presente registro de preços consta como anexo a esta Ata.</w:t>
      </w:r>
      <w:r w:rsidDel="00000000" w:rsidR="00000000" w:rsidRPr="00000000">
        <w:rPr>
          <w:rtl w:val="0"/>
        </w:rPr>
      </w:r>
    </w:p>
    <w:p w:rsidR="00000000" w:rsidDel="00000000" w:rsidP="00000000" w:rsidRDefault="00000000" w:rsidRPr="00000000" w14:paraId="0000006B">
      <w:pPr>
        <w:widowControl w:val="0"/>
        <w:numPr>
          <w:ilvl w:val="0"/>
          <w:numId w:val="2"/>
        </w:numPr>
        <w:spacing w:after="113" w:before="453" w:line="360" w:lineRule="auto"/>
        <w:ind w:left="0" w:righ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sz w:val="20"/>
          <w:szCs w:val="20"/>
          <w:rtl w:val="0"/>
        </w:rPr>
        <w:t xml:space="preserve"> DA ADESÃO DA ATA DE REGISTRO DE PREÇOS</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apresentação de justificativa da vantagem da adesão, inclusive em situações de provável desabastecimento ou descontinuidade de serviço público;</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 demonstração de que os valores registrados estão compatíveis com os valores praticados pelo mercado na forma do art. 23 da Lei nº 14.133, de 2021; 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 consulta e aceitação prévias do órgão ou da entidade gerenciadora e do fornecedor.</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A autorização do órgão ou entidade gerenciadora apenas será realizada após a aceitação da adesão pelo fornecedor.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O órgão ou entidade gerenciadora poderá rejeitar adesões caso elas possam acarretar prejuízo à execução de seus próprios contratos ou à sua capacidade de gerenciamento.</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 Após a autorização do órgão ou da entidade gerenciadora, o órgão ou entidade não participante deverá efetivar a aquisição ou a contratação solicitada em até noventa dias, observado o prazo de vigência da ata.</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O órgão ou a entidade poderá aderir a item da ata de registro de preços da qual seja integrante, na qualidade de não participante, para aqueles itens para os quais não tenha quantitativo registrado, observados os requisitos do item 3.1.</w:t>
      </w: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360" w:lineRule="auto"/>
        <w:ind w:left="360" w:right="0" w:firstLine="0"/>
        <w:jc w:val="both"/>
        <w:rPr>
          <w:rFonts w:ascii="Times New Roman" w:cs="Times New Roman" w:eastAsia="Times New Roman" w:hAnsi="Times New Roman"/>
          <w:b w:val="1"/>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Dos limites para as adesões</w:t>
      </w:r>
    </w:p>
    <w:p w:rsidR="00000000" w:rsidDel="00000000" w:rsidP="00000000" w:rsidRDefault="00000000" w:rsidRPr="00000000" w14:paraId="0000007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As aquisições ou contratações adicionais não poderão exceder, por órgão ou entidade, a cinquenta por cento dos quantitativos dos itens do instrumento convocatório registrados na ata de registro de preços para o gerenciador e para os participantes.</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Para aquisição emergencial de medicamentos e material de consumo médico-hospitalar por órgãos e entidades da Administração Pública federal, estadual, distrital e municipal, a adesão à ata de registro de preços gerenciada pelo Ministério da Saúde não estará sujeita ao limite previsto no item 3.6.</w:t>
      </w:r>
      <w:r w:rsidDel="00000000" w:rsidR="00000000" w:rsidRPr="00000000">
        <w:rPr>
          <w:rtl w:val="0"/>
        </w:rPr>
      </w:r>
    </w:p>
    <w:p w:rsidR="00000000" w:rsidDel="00000000" w:rsidP="00000000" w:rsidRDefault="00000000" w:rsidRPr="00000000" w14:paraId="00000079">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13" w:before="453" w:line="360" w:lineRule="auto"/>
        <w:ind w:left="0"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A adesão à ata de registro de preços por órgãos e entidades da Administração Pública estadual, distrital e municipal poderá ser exigida para fins de transferências voluntárias, não ficando sujeita ao limite de que trata o item 3.6, desde que seja destinada à execução descentralizada de programa ou projeto federal e comprovada a compatibilidade dos preços registrados com os valores praticados no mercado na forma do art. 23 da Lei nº 14.133, de 2021.</w:t>
      </w: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360" w:lineRule="auto"/>
        <w:ind w:left="0" w:right="0" w:firstLine="0"/>
        <w:jc w:val="both"/>
        <w:rPr>
          <w:rFonts w:ascii="Times New Roman" w:cs="Times New Roman" w:eastAsia="Times New Roman" w:hAnsi="Times New Roman"/>
          <w:b w:val="1"/>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Vedação a acréscimo de quantitativos</w:t>
      </w:r>
    </w:p>
    <w:p w:rsidR="00000000" w:rsidDel="00000000" w:rsidP="00000000" w:rsidRDefault="00000000" w:rsidRPr="00000000" w14:paraId="0000007B">
      <w:pPr>
        <w:widowControl w:val="0"/>
        <w:numPr>
          <w:ilvl w:val="1"/>
          <w:numId w:val="2"/>
        </w:numPr>
        <w:spacing w:after="113" w:before="453" w:line="360" w:lineRule="auto"/>
        <w:ind w:left="1283" w:hanging="430.9999999999996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É vedado efetuar acréscimos nos quantitativos fixados na ata de registro de preços.</w:t>
      </w:r>
      <w:r w:rsidDel="00000000" w:rsidR="00000000" w:rsidRPr="00000000">
        <w:rPr>
          <w:rtl w:val="0"/>
        </w:rPr>
      </w:r>
    </w:p>
    <w:p w:rsidR="00000000" w:rsidDel="00000000" w:rsidP="00000000" w:rsidRDefault="00000000" w:rsidRPr="00000000" w14:paraId="0000007C">
      <w:pPr>
        <w:keepNext w:val="1"/>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567"/>
        </w:tabs>
        <w:spacing w:after="113" w:before="453" w:line="360" w:lineRule="auto"/>
        <w:ind w:left="0" w:right="0" w:firstLine="0"/>
        <w:jc w:val="both"/>
        <w:rPr>
          <w:rFonts w:ascii="Times New Roman" w:cs="Times New Roman" w:eastAsia="Times New Roman" w:hAnsi="Times New Roman"/>
          <w:i w:val="0"/>
          <w:smallCaps w:val="0"/>
          <w:strike w:val="0"/>
          <w:shd w:fill="auto" w:val="clear"/>
          <w:vertAlign w:val="baseline"/>
        </w:rPr>
      </w:pP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VALIDADE, FORMALIZAÇÃO DA ATA DE REGISTRO DE PREÇOS E CADASTRO RESERVA</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A validade da Ata de Registro de Preços será de 1 (um) ano, contado a partir do primeiro dia útil subsequente à data de divulgação no PNCP, </w:t>
      </w:r>
      <w:r w:rsidDel="00000000" w:rsidR="00000000" w:rsidRPr="00000000">
        <w:rPr>
          <w:rFonts w:ascii="Times New Roman" w:cs="Times New Roman" w:eastAsia="Times New Roman" w:hAnsi="Times New Roman"/>
          <w:i w:val="0"/>
          <w:smallCaps w:val="0"/>
          <w:strike w:val="0"/>
          <w:sz w:val="20"/>
          <w:szCs w:val="20"/>
          <w:highlight w:val="white"/>
          <w:u w:val="none"/>
          <w:vertAlign w:val="baseline"/>
          <w:rtl w:val="0"/>
        </w:rPr>
        <w:t xml:space="preserve">podendo ser prorrogada por igual período, mediante a anuência do fornecedor, desde que comprovado o preço vantajoso.</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Na formalização do contrato ou do instrumento substituto deverá haver a indicação da disponibilidade dos créditos orçamentários respectivos.</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 O instrumento contratual de que trata o item 5.2. deverá ser assinado no prazo de validade da ata de registro de preços.</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Os contratos decorrentes do sistema de registro de preços poderão ser alterados, observado o art. 124 da Lei nº 14.133, de 2021.</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Após a homologação da licitação ou da contratação direta, deverão ser observadas as seguintes condições para formalização da ata de registro de preços:</w:t>
      </w: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Serão registrados na ata os preços e os quantitativos do adjudicatário, devendo ser observada a possibilidade de o licitante oferecer ou não proposta em quantitativo inferior ao máximo previsto </w:t>
      </w:r>
      <w:r w:rsidDel="00000000" w:rsidR="00000000" w:rsidRPr="00000000">
        <w:rPr>
          <w:rFonts w:ascii="Times New Roman" w:cs="Times New Roman" w:eastAsia="Times New Roman" w:hAnsi="Times New Roman"/>
          <w:i w:val="0"/>
          <w:smallCaps w:val="0"/>
          <w:strike w:val="0"/>
          <w:sz w:val="20"/>
          <w:szCs w:val="20"/>
          <w:highlight w:val="white"/>
          <w:u w:val="none"/>
          <w:vertAlign w:val="baseline"/>
          <w:rtl w:val="0"/>
        </w:rPr>
        <w:t xml:space="preserve">no edital  </w:t>
      </w: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e se obrigar nos limites dela;</w:t>
      </w:r>
      <w:r w:rsidDel="00000000" w:rsidR="00000000" w:rsidRPr="00000000">
        <w:rPr>
          <w:rtl w:val="0"/>
        </w:rPr>
      </w:r>
    </w:p>
    <w:p w:rsidR="00000000" w:rsidDel="00000000" w:rsidP="00000000" w:rsidRDefault="00000000" w:rsidRPr="00000000" w14:paraId="0000008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Será incluído na ata, na forma de anexo, o registro dos licitantes ou dos fornecedores que:</w:t>
      </w:r>
      <w:r w:rsidDel="00000000" w:rsidR="00000000" w:rsidRPr="00000000">
        <w:rPr>
          <w:rtl w:val="0"/>
        </w:rPr>
      </w:r>
    </w:p>
    <w:p w:rsidR="00000000" w:rsidDel="00000000" w:rsidP="00000000" w:rsidRDefault="00000000" w:rsidRPr="00000000" w14:paraId="0000008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360" w:lineRule="auto"/>
        <w:ind w:left="567" w:right="0" w:firstLine="0"/>
        <w:jc w:val="both"/>
        <w:rPr>
          <w:rFonts w:ascii="Times New Roman" w:cs="Times New Roman" w:eastAsia="Times New Roman" w:hAnsi="Times New Roman"/>
          <w:i w:val="0"/>
          <w:smallCaps w:val="0"/>
          <w:strike w:val="0"/>
          <w:sz w:val="20"/>
          <w:szCs w:val="2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Aceitarem cotar os bens, as obras ou os serviços com preços iguais aos do adjudicatário, observada a classificação da licitação; e </w:t>
      </w:r>
      <w:r w:rsidDel="00000000" w:rsidR="00000000" w:rsidRPr="00000000">
        <w:rPr>
          <w:rtl w:val="0"/>
        </w:rPr>
      </w:r>
    </w:p>
    <w:p w:rsidR="00000000" w:rsidDel="00000000" w:rsidP="00000000" w:rsidRDefault="00000000" w:rsidRPr="00000000" w14:paraId="0000008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360" w:lineRule="auto"/>
        <w:ind w:left="567" w:right="0" w:firstLine="0"/>
        <w:jc w:val="both"/>
        <w:rPr>
          <w:rFonts w:ascii="Times New Roman" w:cs="Times New Roman" w:eastAsia="Times New Roman" w:hAnsi="Times New Roman"/>
          <w:i w:val="0"/>
          <w:smallCaps w:val="0"/>
          <w:strike w:val="0"/>
          <w:sz w:val="20"/>
          <w:szCs w:val="2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Mantiverem sua proposta original. </w:t>
      </w:r>
      <w:bookmarkStart w:colFirst="0" w:colLast="0" w:name="bookmark=id.30j0zll" w:id="1"/>
      <w:bookmarkEnd w:id="1"/>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Será respeitada, nas contratações, a ordem de classificação dos licitantes ou dos fornecedores registrados na ata.</w:t>
      </w: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O registro a que se refere o item 5.4.2</w:t>
      </w: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tem por objetivo a formação de cadastro de reserva para o caso de impossibilidade de atendimento pelo signatário da ata.</w:t>
      </w: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Para fins da ordem de classificação, os licitantes ou fornecedores que aceitarem reduzir suas propostas para o preço do adjudicatário antecederão aqueles que mantiverem sua proposta original.</w:t>
      </w: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A habilitação dos licitantes que comporão o cadastro de reserva a que se refere o item 4.4.2.2 somente será efetuada quando houver necessidade de contratação dos licitantes remanescentes, nas seguintes hipóteses:</w:t>
      </w: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Quando o licitante vencedor não assinar a ata de registro de preços, no prazo e nas condições estabelecidos </w:t>
      </w:r>
      <w:r w:rsidDel="00000000" w:rsidR="00000000" w:rsidRPr="00000000">
        <w:rPr>
          <w:rFonts w:ascii="Times New Roman" w:cs="Times New Roman" w:eastAsia="Times New Roman" w:hAnsi="Times New Roman"/>
          <w:i w:val="0"/>
          <w:smallCaps w:val="0"/>
          <w:strike w:val="0"/>
          <w:sz w:val="20"/>
          <w:szCs w:val="20"/>
          <w:highlight w:val="white"/>
          <w:u w:val="none"/>
          <w:vertAlign w:val="baseline"/>
          <w:rtl w:val="0"/>
        </w:rPr>
        <w:t xml:space="preserve">no edital; </w:t>
      </w: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e</w:t>
      </w:r>
      <w:r w:rsidDel="00000000" w:rsidR="00000000" w:rsidRPr="00000000">
        <w:rPr>
          <w:rtl w:val="0"/>
        </w:rPr>
      </w:r>
    </w:p>
    <w:p w:rsidR="00000000" w:rsidDel="00000000" w:rsidP="00000000" w:rsidRDefault="00000000" w:rsidRPr="00000000" w14:paraId="0000008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Quando houver o cancelamento do registro do licitante ou do registro de preços nas hipóteses previstas no item 8.</w:t>
      </w: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O preço registrado com indicação dos licitantes e fornecedores será divulgado no PNCP e ficará disponibilizado durante a vigência da ata de registro de preços.</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O prazo de convocação poderá ser prorrogado 1 (uma) vez, por igual período, mediante solicitação do licitante ou fornecedor convocado, desde que apresentada dentro do prazo, devidamente justificada, e que a justificativa seja aceita pela Administração.</w:t>
      </w:r>
      <w:r w:rsidDel="00000000" w:rsidR="00000000" w:rsidRPr="00000000">
        <w:rPr>
          <w:rtl w:val="0"/>
        </w:rPr>
      </w:r>
    </w:p>
    <w:p w:rsidR="00000000" w:rsidDel="00000000" w:rsidP="00000000" w:rsidRDefault="00000000" w:rsidRPr="00000000" w14:paraId="0000009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A ata de registro de preços será assinada por meio de assinatura digital e disponibilizada no Sistema de Registro de Preços.</w:t>
      </w:r>
      <w:r w:rsidDel="00000000" w:rsidR="00000000" w:rsidRPr="00000000">
        <w:rPr>
          <w:rtl w:val="0"/>
        </w:rPr>
      </w:r>
    </w:p>
    <w:p w:rsidR="00000000" w:rsidDel="00000000" w:rsidP="00000000" w:rsidRDefault="00000000" w:rsidRPr="00000000" w14:paraId="0000009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Quando o convocado não assinar a ata de registro de preços no prazo e nas condições estabelecidos no edital ou no aviso de contratação, e observado o disposto no item 4.7, observando o item 4.7 e subitens, fica facultado à Administração convocar os licitantes remanescentes do cadastro de reserva, na ordem de classificação, para fazê-lo em igual prazo e nas condições propostas pelo primeiro classificado.</w:t>
      </w:r>
      <w:r w:rsidDel="00000000" w:rsidR="00000000" w:rsidRPr="00000000">
        <w:rPr>
          <w:rtl w:val="0"/>
        </w:rPr>
      </w:r>
    </w:p>
    <w:p w:rsidR="00000000" w:rsidDel="00000000" w:rsidP="00000000" w:rsidRDefault="00000000" w:rsidRPr="00000000" w14:paraId="0000009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Na hipótese de nenhum dos licitantes que trata o item 4.4.2.1, aceitar a contratação nos termos do item anterior, a Administração, observados o valor estimado e sua eventual atualização nos termos do </w:t>
      </w:r>
      <w:r w:rsidDel="00000000" w:rsidR="00000000" w:rsidRPr="00000000">
        <w:rPr>
          <w:rFonts w:ascii="Times New Roman" w:cs="Times New Roman" w:eastAsia="Times New Roman" w:hAnsi="Times New Roman"/>
          <w:i w:val="0"/>
          <w:smallCaps w:val="0"/>
          <w:strike w:val="0"/>
          <w:sz w:val="20"/>
          <w:szCs w:val="20"/>
          <w:highlight w:val="white"/>
          <w:u w:val="none"/>
          <w:vertAlign w:val="baseline"/>
          <w:rtl w:val="0"/>
        </w:rPr>
        <w:t xml:space="preserve">edital,</w:t>
      </w: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 poderá:</w:t>
      </w:r>
      <w:r w:rsidDel="00000000" w:rsidR="00000000" w:rsidRPr="00000000">
        <w:rPr>
          <w:rtl w:val="0"/>
        </w:rPr>
      </w:r>
    </w:p>
    <w:p w:rsidR="00000000" w:rsidDel="00000000" w:rsidP="00000000" w:rsidRDefault="00000000" w:rsidRPr="00000000" w14:paraId="0000009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Convocar para negociação os demais licitantes ou fornecedores remanescentes cujos preços foram registrados sem redução, observada a ordem de classificação, com vistas à obtenção de preço melhor, mesmo que acima do preço do adjudicatário; ou</w:t>
      </w:r>
      <w:r w:rsidDel="00000000" w:rsidR="00000000" w:rsidRPr="00000000">
        <w:rPr>
          <w:rtl w:val="0"/>
        </w:rPr>
      </w:r>
    </w:p>
    <w:p w:rsidR="00000000" w:rsidDel="00000000" w:rsidP="00000000" w:rsidRDefault="00000000" w:rsidRPr="00000000" w14:paraId="0000009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Adjudicar e firmar o contrato nas condições ofertadas pelos licitantes ou fornecedores remanescentes, atendida a ordem classificatória, quando frustrada a negociação de melhor condição.</w:t>
      </w:r>
      <w:r w:rsidDel="00000000" w:rsidR="00000000" w:rsidRPr="00000000">
        <w:rPr>
          <w:rtl w:val="0"/>
        </w:rPr>
      </w:r>
    </w:p>
    <w:p w:rsidR="00000000" w:rsidDel="00000000" w:rsidP="00000000" w:rsidRDefault="00000000" w:rsidRPr="00000000" w14:paraId="00000096">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13" w:before="0" w:line="360" w:lineRule="auto"/>
        <w:ind w:left="0"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Del="00000000" w:rsidR="00000000" w:rsidRPr="00000000">
        <w:rPr>
          <w:rtl w:val="0"/>
        </w:rPr>
      </w:r>
    </w:p>
    <w:p w:rsidR="00000000" w:rsidDel="00000000" w:rsidP="00000000" w:rsidRDefault="00000000" w:rsidRPr="00000000" w14:paraId="00000097">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0" w:right="0" w:firstLine="0"/>
        <w:jc w:val="both"/>
        <w:rPr>
          <w:rFonts w:ascii="Times New Roman" w:cs="Times New Roman" w:eastAsia="Times New Roman" w:hAnsi="Times New Roman"/>
          <w:i w:val="0"/>
          <w:smallCaps w:val="0"/>
          <w:strike w:val="0"/>
          <w:sz w:val="20"/>
          <w:szCs w:val="20"/>
          <w:shd w:fill="auto" w:val="clear"/>
          <w:vertAlign w:val="baseline"/>
        </w:rPr>
      </w:pPr>
      <w:r w:rsidDel="00000000" w:rsidR="00000000" w:rsidRPr="00000000">
        <w:rPr>
          <w:rtl w:val="0"/>
        </w:rPr>
      </w:r>
    </w:p>
    <w:p w:rsidR="00000000" w:rsidDel="00000000" w:rsidP="00000000" w:rsidRDefault="00000000" w:rsidRPr="00000000" w14:paraId="0000009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s>
        <w:spacing w:after="120" w:before="120" w:line="360" w:lineRule="auto"/>
        <w:ind w:left="0" w:right="0" w:firstLine="0"/>
        <w:jc w:val="both"/>
        <w:rPr>
          <w:rFonts w:ascii="Times New Roman" w:cs="Times New Roman" w:eastAsia="Times New Roman" w:hAnsi="Times New Roman"/>
          <w:i w:val="0"/>
          <w:smallCaps w:val="0"/>
          <w:strike w:val="0"/>
          <w:shd w:fill="auto" w:val="clear"/>
          <w:vertAlign w:val="baseline"/>
        </w:rPr>
      </w:pP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ALTERAÇÃO OU ATUALIZAÇÃO DOS PREÇOS REGISTRADOS</w:t>
      </w:r>
      <w:r w:rsidDel="00000000" w:rsidR="00000000" w:rsidRPr="00000000">
        <w:rPr>
          <w:rtl w:val="0"/>
        </w:rPr>
      </w:r>
    </w:p>
    <w:p w:rsidR="00000000" w:rsidDel="00000000" w:rsidP="00000000" w:rsidRDefault="00000000" w:rsidRPr="00000000" w14:paraId="00000099">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13" w:before="453" w:line="360" w:lineRule="auto"/>
        <w:ind w:left="0"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Os preços registrados poderão ser alterados ou atualizados em decorrência de eventual redução dos preços praticados no mercado ou de fato que eleve o custo dos bens, das obras ou dos serviços registrados, nas seguintes situações:</w:t>
      </w:r>
      <w:r w:rsidDel="00000000" w:rsidR="00000000" w:rsidRPr="00000000">
        <w:rPr>
          <w:rtl w:val="0"/>
        </w:rPr>
      </w:r>
    </w:p>
    <w:p w:rsidR="00000000" w:rsidDel="00000000" w:rsidP="00000000" w:rsidRDefault="00000000" w:rsidRPr="00000000" w14:paraId="0000009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E</w:t>
      </w:r>
      <w:sdt>
        <w:sdtPr>
          <w:tag w:val="goog_rdk_0"/>
        </w:sdtPr>
        <w:sdtContent>
          <w:commentRangeStart w:id="0"/>
        </w:sdtContent>
      </w:sdt>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m caso de força maior, caso fortuito ou fato do príncipe ou em decorrência de fatos imprevisíveis ou previsíveis de consequências incalculáveis, que inviabilizem a execução da ata tal como pactuada, nos termos da </w:t>
      </w: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alínea “d” do inciso II do caput do art. 124 da Lei nº 14.133, de 2021</w:t>
      </w:r>
      <w:commentRangeEnd w:id="0"/>
      <w:r w:rsidDel="00000000" w:rsidR="00000000" w:rsidRPr="00000000">
        <w:commentReference w:id="0"/>
      </w: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Em caso de criação, alteração ou extinção de quaisquer tributos ou encargos legais ou a superveniência de disposições legais, com comprovada repercussão sobre os preços registrados; </w:t>
      </w: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Na hipótese de previsão no edital ou no aviso de contratação direta de cláusula de reajustamento ou repactuação sobre os preços registrados, nos termos da Lei nº 14.133, de 2021.</w:t>
      </w:r>
      <w:r w:rsidDel="00000000" w:rsidR="00000000" w:rsidRPr="00000000">
        <w:rPr>
          <w:rtl w:val="0"/>
        </w:rPr>
      </w:r>
    </w:p>
    <w:p w:rsidR="00000000" w:rsidDel="00000000" w:rsidP="00000000" w:rsidRDefault="00000000" w:rsidRPr="00000000" w14:paraId="0000009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360" w:lineRule="auto"/>
        <w:ind w:left="567" w:right="0" w:firstLine="0"/>
        <w:jc w:val="both"/>
        <w:rPr>
          <w:rFonts w:ascii="Times New Roman" w:cs="Times New Roman" w:eastAsia="Times New Roman" w:hAnsi="Times New Roman"/>
          <w:i w:val="0"/>
          <w:smallCaps w:val="0"/>
          <w:strike w:val="0"/>
          <w:sz w:val="20"/>
          <w:szCs w:val="2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No caso do reajustamento, deverá ser respeitada a contagem da anualidade e o índice previstos para a contratação;  </w:t>
      </w: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360" w:lineRule="auto"/>
        <w:ind w:left="567" w:right="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No caso da repactuação, poderá ser a pedido do interessado, conforme critérios definidos para a contratação.</w:t>
      </w:r>
      <w:r w:rsidDel="00000000" w:rsidR="00000000" w:rsidRPr="00000000">
        <w:rPr>
          <w:rtl w:val="0"/>
        </w:rPr>
      </w:r>
    </w:p>
    <w:p w:rsidR="00000000" w:rsidDel="00000000" w:rsidP="00000000" w:rsidRDefault="00000000" w:rsidRPr="00000000" w14:paraId="0000009F">
      <w:pPr>
        <w:widowControl w:val="0"/>
        <w:numPr>
          <w:ilvl w:val="0"/>
          <w:numId w:val="2"/>
        </w:numPr>
        <w:spacing w:after="113" w:before="453" w:line="360" w:lineRule="auto"/>
        <w:ind w:left="3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sz w:val="20"/>
          <w:szCs w:val="20"/>
          <w:rtl w:val="0"/>
        </w:rPr>
        <w:t xml:space="preserve"> NEGOCIAÇÃO DE PREÇOS REGISTRADOS</w:t>
      </w:r>
      <w:r w:rsidDel="00000000" w:rsidR="00000000" w:rsidRPr="00000000">
        <w:rPr>
          <w:rtl w:val="0"/>
        </w:rPr>
      </w:r>
    </w:p>
    <w:p w:rsidR="00000000" w:rsidDel="00000000" w:rsidP="00000000" w:rsidRDefault="00000000" w:rsidRPr="00000000" w14:paraId="000000A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Na hipótese de o preço registrado tornar-se superior ao preço praticado no mercado por motivo superveniente, o órgão ou entidade gerenciadora convocará o fornecedor para negociar a redução do preço registrado.</w:t>
      </w:r>
      <w:r w:rsidDel="00000000" w:rsidR="00000000" w:rsidRPr="00000000">
        <w:rPr>
          <w:rtl w:val="0"/>
        </w:rPr>
      </w:r>
    </w:p>
    <w:p w:rsidR="00000000" w:rsidDel="00000000" w:rsidP="00000000" w:rsidRDefault="00000000" w:rsidRPr="00000000" w14:paraId="000000A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Caso não aceite reduzir seu preço aos valores praticados pelo mercado, o fornecedor será liberado do compromisso assumido quanto ao item registrado, sem aplicação de penalidades administrativas.</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Na hipótese prevista no item anterior, o gerenciador convocará os fornecedores do cadastro de reserva, na ordem de classificação, para verificar se aceitam reduzir seus preços aos valores de mercado e não convocará o</w:t>
      </w:r>
      <w:sdt>
        <w:sdtPr>
          <w:tag w:val="goog_rdk_1"/>
        </w:sdtPr>
        <w:sdtContent>
          <w:commentRangeStart w:id="1"/>
        </w:sdtContent>
      </w:sdt>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s licitantes ou fornecedores que tiveram seu registro cancelado.</w:t>
      </w:r>
      <w:commentRangeEnd w:id="1"/>
      <w:r w:rsidDel="00000000" w:rsidR="00000000" w:rsidRPr="00000000">
        <w:commentReference w:id="1"/>
      </w: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A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Se não obtiver êxito nas negociações, o órgão ou entidade gerenciadora procederá ao cancelamento da ata de registro de preços, adotando as medidas cabíveis para obtenção de contratação mais vantajosa.</w:t>
      </w:r>
      <w:bookmarkStart w:colFirst="0" w:colLast="0" w:name="bookmark=id.1fob9te" w:id="2"/>
      <w:bookmarkEnd w:id="2"/>
      <w:r w:rsidDel="00000000" w:rsidR="00000000" w:rsidRPr="00000000">
        <w:rPr>
          <w:rtl w:val="0"/>
        </w:rPr>
      </w:r>
    </w:p>
    <w:p w:rsidR="00000000" w:rsidDel="00000000" w:rsidP="00000000" w:rsidRDefault="00000000" w:rsidRPr="00000000" w14:paraId="000000A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r w:rsidDel="00000000" w:rsidR="00000000" w:rsidRPr="00000000">
        <w:rPr>
          <w:rtl w:val="0"/>
        </w:rPr>
      </w:r>
    </w:p>
    <w:p w:rsidR="00000000" w:rsidDel="00000000" w:rsidP="00000000" w:rsidRDefault="00000000" w:rsidRPr="00000000" w14:paraId="000000A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colFirst="0" w:colLast="0" w:name="bookmark=id.3znysh7" w:id="3"/>
      <w:bookmarkEnd w:id="3"/>
      <w:r w:rsidDel="00000000" w:rsidR="00000000" w:rsidRPr="00000000">
        <w:rPr>
          <w:rtl w:val="0"/>
        </w:rPr>
      </w:r>
    </w:p>
    <w:p w:rsidR="00000000" w:rsidDel="00000000" w:rsidP="00000000" w:rsidRDefault="00000000" w:rsidRPr="00000000" w14:paraId="000000A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Neste caso, o fornecedor encaminhará, juntamente com o pedido de alteração, a documentação comprobatória ou a planilha de custos que demonstre a inviabilidade do preço registrado em relação às condições inicialmente pactuadas.</w:t>
      </w:r>
      <w:bookmarkStart w:colFirst="0" w:colLast="0" w:name="bookmark=id.2et92p0" w:id="4"/>
      <w:bookmarkEnd w:id="4"/>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Não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w:t>
      </w:r>
      <w:r w:rsidDel="00000000" w:rsidR="00000000" w:rsidRPr="00000000">
        <w:rPr>
          <w:rFonts w:ascii="Times New Roman" w:cs="Times New Roman" w:eastAsia="Times New Roman" w:hAnsi="Times New Roman"/>
          <w:sz w:val="20"/>
          <w:szCs w:val="20"/>
          <w:rtl w:val="0"/>
        </w:rPr>
        <w:t xml:space="preserve">9</w:t>
      </w: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.1, sem prejuízo das sanções previstas na Lei nº 14.133, de 2021, e na legislação aplicável.</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4.7.</w:t>
      </w:r>
      <w:r w:rsidDel="00000000" w:rsidR="00000000" w:rsidRPr="00000000">
        <w:rPr>
          <w:rtl w:val="0"/>
        </w:rPr>
      </w:r>
    </w:p>
    <w:p w:rsidR="00000000" w:rsidDel="00000000" w:rsidP="00000000" w:rsidRDefault="00000000" w:rsidRPr="00000000" w14:paraId="000000A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Se não obtiver êxito nas negociações, o órgão ou entidade gerenciadora procederá ao cancelamento da ata de registro de preços, nos termos do item </w:t>
      </w:r>
      <w:r w:rsidDel="00000000" w:rsidR="00000000" w:rsidRPr="00000000">
        <w:rPr>
          <w:rFonts w:ascii="Times New Roman" w:cs="Times New Roman" w:eastAsia="Times New Roman" w:hAnsi="Times New Roman"/>
          <w:sz w:val="20"/>
          <w:szCs w:val="20"/>
          <w:rtl w:val="0"/>
        </w:rPr>
        <w:t xml:space="preserve">9</w:t>
      </w: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.4, e adotará as medidas cabíveis para a obtenção da contratação mais vantajosa.</w:t>
      </w:r>
      <w:r w:rsidDel="00000000" w:rsidR="00000000" w:rsidRPr="00000000">
        <w:rPr>
          <w:rtl w:val="0"/>
        </w:rPr>
      </w:r>
    </w:p>
    <w:p w:rsidR="00000000" w:rsidDel="00000000" w:rsidP="00000000" w:rsidRDefault="00000000" w:rsidRPr="00000000" w14:paraId="000000A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Na hipótese de comprovação da majoração do preço de mercado que inviabilize o preço registrado, conforme previsto no item 6.2 e no item 6.2.1, o órgão ou entidade gerenciadora atualizará o preço registrado, de acordo com a realidade dos valores praticados pelo mercado.</w:t>
      </w:r>
      <w:r w:rsidDel="00000000" w:rsidR="00000000" w:rsidRPr="00000000">
        <w:rPr>
          <w:rtl w:val="0"/>
        </w:rPr>
      </w:r>
    </w:p>
    <w:p w:rsidR="00000000" w:rsidDel="00000000" w:rsidP="00000000" w:rsidRDefault="00000000" w:rsidRPr="00000000" w14:paraId="000000A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1497" w:right="0" w:firstLine="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D">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s>
        <w:spacing w:after="120" w:before="120" w:line="360" w:lineRule="auto"/>
        <w:ind w:left="0" w:right="0" w:firstLine="0"/>
        <w:jc w:val="both"/>
        <w:rPr>
          <w:rFonts w:ascii="Times New Roman" w:cs="Times New Roman" w:eastAsia="Times New Roman" w:hAnsi="Times New Roman"/>
          <w:i w:val="0"/>
          <w:smallCaps w:val="0"/>
          <w:strike w:val="0"/>
          <w:shd w:fill="auto" w:val="clear"/>
          <w:vertAlign w:val="baseline"/>
        </w:rPr>
      </w:pP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REMANEJAMENTO DAS QUANTIDADES REGISTRADAS NA ATA DE REGISTRO DE PREÇOS</w:t>
      </w: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i w:val="0"/>
          <w:smallCaps w:val="0"/>
          <w:strike w:val="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 As quantidades previstas para os itens com preços registrados nas atas de registro de preços poderão ser remanejadas pelo órgão ou entidade gerenciadora entre os órgãos ou as entidades participantes e não participantes do registro de preços.</w:t>
      </w:r>
      <w:r w:rsidDel="00000000" w:rsidR="00000000" w:rsidRPr="00000000">
        <w:rPr>
          <w:rtl w:val="0"/>
        </w:rPr>
      </w:r>
    </w:p>
    <w:p w:rsidR="00000000" w:rsidDel="00000000" w:rsidP="00000000" w:rsidRDefault="00000000" w:rsidRPr="00000000" w14:paraId="000000B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 O remanejamento somente poderá ser feito:</w:t>
      </w:r>
      <w:r w:rsidDel="00000000" w:rsidR="00000000" w:rsidRPr="00000000">
        <w:rPr>
          <w:rtl w:val="0"/>
        </w:rPr>
      </w:r>
    </w:p>
    <w:p w:rsidR="00000000" w:rsidDel="00000000" w:rsidP="00000000" w:rsidRDefault="00000000" w:rsidRPr="00000000" w14:paraId="000000B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De órgão ou entidade participante para órgão ou entidade participante; ou</w:t>
      </w:r>
      <w:r w:rsidDel="00000000" w:rsidR="00000000" w:rsidRPr="00000000">
        <w:rPr>
          <w:rtl w:val="0"/>
        </w:rPr>
      </w:r>
    </w:p>
    <w:p w:rsidR="00000000" w:rsidDel="00000000" w:rsidP="00000000" w:rsidRDefault="00000000" w:rsidRPr="00000000" w14:paraId="000000B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De órgão ou entidade participante para órgão ou entidade não participante.</w:t>
      </w:r>
      <w:r w:rsidDel="00000000" w:rsidR="00000000" w:rsidRPr="00000000">
        <w:rPr>
          <w:rtl w:val="0"/>
        </w:rPr>
      </w:r>
    </w:p>
    <w:p w:rsidR="00000000" w:rsidDel="00000000" w:rsidP="00000000" w:rsidRDefault="00000000" w:rsidRPr="00000000" w14:paraId="000000B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O órgão ou entidade gerenciadora que tiver estimado as quantidades que pretende contratar será considerado participante para efeito do remanejamento.</w:t>
      </w:r>
      <w:bookmarkStart w:colFirst="0" w:colLast="0" w:name="bookmark=id.tyjcwt" w:id="5"/>
      <w:bookmarkEnd w:id="5"/>
      <w:r w:rsidDel="00000000" w:rsidR="00000000" w:rsidRPr="00000000">
        <w:rPr>
          <w:rtl w:val="0"/>
        </w:rPr>
      </w:r>
    </w:p>
    <w:p w:rsidR="00000000" w:rsidDel="00000000" w:rsidP="00000000" w:rsidRDefault="00000000" w:rsidRPr="00000000" w14:paraId="000000B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Na hipótese de remanejamento de órgão ou entidade participante para órgão ou entidade não participante, serão observados os limites previstos no </w:t>
      </w:r>
      <w:sdt>
        <w:sdtPr>
          <w:tag w:val="goog_rdk_2"/>
        </w:sdtPr>
        <w:sdtContent>
          <w:commentRangeStart w:id="2"/>
        </w:sdtContent>
      </w:sdt>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art. 32 do Decreto nº 11.462, de 2023</w:t>
      </w:r>
      <w:commentRangeEnd w:id="2"/>
      <w:r w:rsidDel="00000000" w:rsidR="00000000" w:rsidRPr="00000000">
        <w:commentReference w:id="2"/>
      </w: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r w:rsidDel="00000000" w:rsidR="00000000" w:rsidRPr="00000000">
        <w:rPr>
          <w:rtl w:val="0"/>
        </w:rPr>
      </w:r>
    </w:p>
    <w:p w:rsidR="00000000" w:rsidDel="00000000" w:rsidP="00000000" w:rsidRDefault="00000000" w:rsidRPr="00000000" w14:paraId="000000B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Na hipótese da compra centralizada, não havendo indicação pelo órgão ou pela entidade gerenciadora, dos quantitativos dos participantes da compra centralizada, nos termos do item 7.3, a distribuição das quantidades para a execução descentralizada será por meio do remanejamento.</w:t>
      </w:r>
      <w:r w:rsidDel="00000000" w:rsidR="00000000" w:rsidRPr="00000000">
        <w:rPr>
          <w:rtl w:val="0"/>
        </w:rPr>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113" w:before="453" w:line="360" w:lineRule="auto"/>
        <w:ind w:left="1283" w:right="0" w:firstLine="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s>
        <w:spacing w:after="120" w:before="120" w:line="360" w:lineRule="auto"/>
        <w:ind w:left="0" w:right="0" w:firstLine="0"/>
        <w:jc w:val="both"/>
        <w:rPr>
          <w:rFonts w:ascii="Times New Roman" w:cs="Times New Roman" w:eastAsia="Times New Roman" w:hAnsi="Times New Roman"/>
          <w:i w:val="0"/>
          <w:smallCaps w:val="0"/>
          <w:strike w:val="0"/>
          <w:shd w:fill="auto" w:val="clear"/>
          <w:vertAlign w:val="baseline"/>
        </w:rPr>
      </w:pP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CANCELAMENTO DO REGISTRO DO LICITANTE VENCEDOR E DOS PREÇOS REGISTRADOS</w:t>
      </w:r>
      <w:r w:rsidDel="00000000" w:rsidR="00000000" w:rsidRPr="00000000">
        <w:rPr>
          <w:rtl w:val="0"/>
        </w:rPr>
      </w:r>
    </w:p>
    <w:bookmarkStart w:colFirst="0" w:colLast="0" w:name="bookmark=id.3dy6vkm" w:id="6"/>
    <w:bookmarkEnd w:id="6"/>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i w:val="0"/>
          <w:smallCaps w:val="0"/>
          <w:strike w:val="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O registro do fornecedor será cancelado pelo gerenciador, quando o fornecedor:</w:t>
      </w:r>
      <w:bookmarkStart w:colFirst="0" w:colLast="0" w:name="bookmark=id.1t3h5sf" w:id="7"/>
      <w:bookmarkEnd w:id="7"/>
      <w:r w:rsidDel="00000000" w:rsidR="00000000" w:rsidRPr="00000000">
        <w:rPr>
          <w:rtl w:val="0"/>
        </w:rPr>
      </w:r>
    </w:p>
    <w:p w:rsidR="00000000" w:rsidDel="00000000" w:rsidP="00000000" w:rsidRDefault="00000000" w:rsidRPr="00000000" w14:paraId="000000B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Descumprir as condições da ata de registro de preços, sem motivo justificado;</w:t>
      </w: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Não retirar a nota de empenho, ou instrumento equivalente, no prazo estabelecido pela Administração sem justificativa razoável;</w:t>
      </w:r>
      <w:r w:rsidDel="00000000" w:rsidR="00000000" w:rsidRPr="00000000">
        <w:rPr>
          <w:rtl w:val="0"/>
        </w:rPr>
      </w:r>
    </w:p>
    <w:p w:rsidR="00000000" w:rsidDel="00000000" w:rsidP="00000000" w:rsidRDefault="00000000" w:rsidRPr="00000000" w14:paraId="000000B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Não aceitar manter seu preço registrado, na hipótese prevista no artigo 27, § 2º, do Decreto nº 11.462, de 2023; ou</w:t>
      </w: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 Sofrer sanção prevista nos incisos III ou IV do caput do art. 156 da Lei nº 14.133, de 2021.</w:t>
      </w:r>
      <w:r w:rsidDel="00000000" w:rsidR="00000000" w:rsidRPr="00000000">
        <w:rPr>
          <w:rtl w:val="0"/>
        </w:rPr>
      </w:r>
    </w:p>
    <w:p w:rsidR="00000000" w:rsidDel="00000000" w:rsidP="00000000" w:rsidRDefault="00000000" w:rsidRPr="00000000" w14:paraId="000000C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360" w:lineRule="auto"/>
        <w:ind w:left="567" w:right="0" w:firstLine="0"/>
        <w:jc w:val="both"/>
        <w:rPr>
          <w:rFonts w:ascii="Times New Roman" w:cs="Times New Roman" w:eastAsia="Times New Roman" w:hAnsi="Times New Roman"/>
          <w:i w:val="0"/>
          <w:smallCaps w:val="0"/>
          <w:strike w:val="0"/>
          <w:sz w:val="20"/>
          <w:szCs w:val="2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 O cancelamento de registros nas hipóteses previstas no item 8.1 será formalizado por despacho do órgão ou da entidade gerenciadora, garantidos os princípios do contraditório e da ampla defesa.</w:t>
      </w:r>
      <w:r w:rsidDel="00000000" w:rsidR="00000000" w:rsidRPr="00000000">
        <w:rPr>
          <w:rtl w:val="0"/>
        </w:rPr>
      </w:r>
    </w:p>
    <w:p w:rsidR="00000000" w:rsidDel="00000000" w:rsidP="00000000" w:rsidRDefault="00000000" w:rsidRPr="00000000" w14:paraId="000000C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Na hipótese de cancelamento do registro do fornecedor, o órgão ou a entidade gerenciadora poderá convocar os licitantes que compõem o cadastro de reserva, observada a ordem de classificação.</w:t>
      </w: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O cancelamento dos preços registrados poderá ser realizado pelo gerenciador, em determinada ata de registro de preços, total ou parcialmente, nas seguintes hipóteses, desde que devidamente comprovadas e justificadas:</w:t>
      </w:r>
      <w:bookmarkStart w:colFirst="0" w:colLast="0" w:name="bookmark=id.4d34og8" w:id="8"/>
      <w:bookmarkEnd w:id="8"/>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C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Por razão de interesse público;</w:t>
      </w: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A pedido do fornecedor, decorrente de caso fortuito ou força maior; ou</w:t>
      </w:r>
      <w:r w:rsidDel="00000000" w:rsidR="00000000" w:rsidRPr="00000000">
        <w:rPr>
          <w:rtl w:val="0"/>
        </w:rPr>
      </w:r>
    </w:p>
    <w:p w:rsidR="00000000" w:rsidDel="00000000" w:rsidP="00000000" w:rsidRDefault="00000000" w:rsidRPr="00000000" w14:paraId="000000C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Se não houver êxito nas negociações, nas hipóteses em que o preço de mercado tornar-se superior ou inferior ao preço registrado, nos termos do artigos 26, § 3º e 27, § 4º, ambos do Decreto nº 11.462, de 2023. </w:t>
      </w:r>
      <w:r w:rsidDel="00000000" w:rsidR="00000000" w:rsidRPr="00000000">
        <w:rPr>
          <w:rtl w:val="0"/>
        </w:rPr>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113" w:before="453" w:line="360" w:lineRule="auto"/>
        <w:ind w:left="0" w:right="0" w:firstLine="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s>
        <w:spacing w:after="120" w:before="120" w:line="360" w:lineRule="auto"/>
        <w:ind w:left="360" w:right="0" w:hanging="360"/>
        <w:jc w:val="both"/>
        <w:rPr>
          <w:rFonts w:ascii="Times New Roman" w:cs="Times New Roman" w:eastAsia="Times New Roman" w:hAnsi="Times New Roman"/>
          <w:i w:val="0"/>
          <w:smallCaps w:val="0"/>
          <w:strike w:val="0"/>
          <w:shd w:fill="auto" w:val="clear"/>
          <w:vertAlign w:val="baseline"/>
        </w:rPr>
      </w:pP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DAS PENALIDADES</w:t>
      </w: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i w:val="0"/>
          <w:smallCaps w:val="0"/>
          <w:strike w:val="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O descumprimento da Ata de Registro de Preços ensejará aplicação das penalidades estabelecidas </w:t>
      </w:r>
      <w:r w:rsidDel="00000000" w:rsidR="00000000" w:rsidRPr="00000000">
        <w:rPr>
          <w:rFonts w:ascii="Times New Roman" w:cs="Times New Roman" w:eastAsia="Times New Roman" w:hAnsi="Times New Roman"/>
          <w:i w:val="0"/>
          <w:smallCaps w:val="0"/>
          <w:strike w:val="0"/>
          <w:sz w:val="20"/>
          <w:szCs w:val="20"/>
          <w:highlight w:val="white"/>
          <w:u w:val="none"/>
          <w:vertAlign w:val="baseline"/>
          <w:rtl w:val="0"/>
        </w:rPr>
        <w:t xml:space="preserve">no edital.</w:t>
      </w: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As sanções também se aplicam aos integrantes do cadastro de reserva no registro de preços que, convocados, não honrarem o compromisso assumido </w:t>
      </w:r>
      <w:sdt>
        <w:sdtPr>
          <w:tag w:val="goog_rdk_3"/>
        </w:sdtPr>
        <w:sdtContent>
          <w:commentRangeStart w:id="3"/>
        </w:sdtContent>
      </w:sdt>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injustificadamente</w:t>
      </w:r>
      <w:commentRangeEnd w:id="3"/>
      <w:r w:rsidDel="00000000" w:rsidR="00000000" w:rsidRPr="00000000">
        <w:commentReference w:id="3"/>
      </w: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 após terem assinado a ata. </w:t>
      </w: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O órgão ou entidade participante deverá comunicar ao órgão gerenciador qualquer das ocorrências previstas no item 9.1, dada a necessidade de instauração de procedimento para cancelamento do registro do fornecedor.</w:t>
      </w: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i w:val="0"/>
          <w:smallCaps w:val="0"/>
          <w:strike w:val="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Ecofont_Spranq_eco_Sans" w:cs="Ecofont_Spranq_eco_Sans" w:eastAsia="Ecofont_Spranq_eco_Sans" w:hAnsi="Ecofont_Spranq_eco_Sans"/>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CONDIÇÕES GERAIS</w:t>
      </w: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D1">
      <w:pPr>
        <w:numPr>
          <w:ilvl w:val="1"/>
          <w:numId w:val="2"/>
        </w:numPr>
        <w:spacing w:after="120" w:before="120" w:line="360" w:lineRule="auto"/>
        <w:ind w:left="1283" w:hanging="430.9999999999996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As condições gerais de execução do objeto, tais como os prazos para entrega e recebimento, as obrigações da Administração e do fornecedor registrado, penalidades e demais condições do ajuste, encontram-se definidos no Termo de Referência, </w:t>
      </w:r>
      <w:r w:rsidDel="00000000" w:rsidR="00000000" w:rsidRPr="00000000">
        <w:rPr>
          <w:rFonts w:ascii="Times New Roman" w:cs="Times New Roman" w:eastAsia="Times New Roman" w:hAnsi="Times New Roman"/>
          <w:i w:val="0"/>
          <w:smallCaps w:val="0"/>
          <w:strike w:val="0"/>
          <w:sz w:val="20"/>
          <w:szCs w:val="20"/>
          <w:highlight w:val="white"/>
          <w:u w:val="none"/>
          <w:vertAlign w:val="baseline"/>
          <w:rtl w:val="0"/>
        </w:rPr>
        <w:t xml:space="preserve">ANEXO AO EDITAL.</w:t>
      </w:r>
      <w:r w:rsidDel="00000000" w:rsidR="00000000" w:rsidRPr="00000000">
        <w:rPr>
          <w:rtl w:val="0"/>
        </w:rPr>
      </w:r>
    </w:p>
    <w:p w:rsidR="00000000" w:rsidDel="00000000" w:rsidP="00000000" w:rsidRDefault="00000000" w:rsidRPr="00000000" w14:paraId="000000D2">
      <w:pPr>
        <w:numPr>
          <w:ilvl w:val="1"/>
          <w:numId w:val="2"/>
        </w:numPr>
        <w:spacing w:after="120" w:before="120" w:line="360" w:lineRule="auto"/>
        <w:ind w:left="1283" w:hanging="430.99999999999966"/>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No caso de adjudicação por preço global de grupo de itens, só será admitida a contratação de parte de itens do grupo se houver prévia pesquisa de mercado e demonstração de sua vantagem para o órgão ou a entidade.</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i w:val="0"/>
          <w:smallCaps w:val="0"/>
          <w:strike w:val="0"/>
          <w:sz w:val="20"/>
          <w:szCs w:val="20"/>
          <w:highlight w:val="white"/>
          <w:u w:val="none"/>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Para firmeza e validade do pactuado, a presente Ata foi lavrada em </w:t>
      </w:r>
      <w:r w:rsidDel="00000000" w:rsidR="00000000" w:rsidRPr="00000000">
        <w:rPr>
          <w:rFonts w:ascii="Times New Roman" w:cs="Times New Roman" w:eastAsia="Times New Roman" w:hAnsi="Times New Roman"/>
          <w:i w:val="0"/>
          <w:smallCaps w:val="0"/>
          <w:strike w:val="0"/>
          <w:sz w:val="20"/>
          <w:szCs w:val="20"/>
          <w:highlight w:val="white"/>
          <w:u w:val="none"/>
          <w:vertAlign w:val="baseline"/>
          <w:rtl w:val="0"/>
        </w:rPr>
        <w:t xml:space="preserve">2 (duas) </w:t>
      </w: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vias de igual teor, que, depois de lida e achada em ordem, vai assinada digitalmente pelas partes</w:t>
      </w:r>
      <w:r w:rsidDel="00000000" w:rsidR="00000000" w:rsidRPr="00000000">
        <w:rPr>
          <w:rFonts w:ascii="Times New Roman" w:cs="Times New Roman" w:eastAsia="Times New Roman" w:hAnsi="Times New Roman"/>
          <w:i w:val="0"/>
          <w:smallCaps w:val="0"/>
          <w:strike w:val="0"/>
          <w:sz w:val="20"/>
          <w:szCs w:val="20"/>
          <w:highlight w:val="white"/>
          <w:u w:val="none"/>
          <w:vertAlign w:val="baseline"/>
          <w:rtl w:val="0"/>
        </w:rPr>
        <w:t xml:space="preserve"> e encaminhada cópia aos demais órgãos participantes (se houver). </w:t>
      </w:r>
    </w:p>
    <w:p w:rsidR="00000000" w:rsidDel="00000000" w:rsidP="00000000" w:rsidRDefault="00000000" w:rsidRPr="00000000" w14:paraId="000000D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i w:val="0"/>
          <w:smallCaps w:val="0"/>
          <w:strike w:val="0"/>
          <w:sz w:val="20"/>
          <w:szCs w:val="20"/>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1"/>
          <w:i w:val="0"/>
          <w:smallCaps w:val="0"/>
          <w:strike w:val="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6">
      <w:pPr>
        <w:spacing w:after="113" w:before="0" w:line="360" w:lineRule="auto"/>
        <w:ind w:left="45" w:right="0" w:firstLine="0"/>
        <w:jc w:val="righ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Foz do Iguaçu, xx de xxxxx de 2023.</w:t>
      </w:r>
    </w:p>
    <w:p w:rsidR="00000000" w:rsidDel="00000000" w:rsidP="00000000" w:rsidRDefault="00000000" w:rsidRPr="00000000" w14:paraId="000000D7">
      <w:pPr>
        <w:widowControl w:val="0"/>
        <w:spacing w:after="113" w:before="0" w:line="360" w:lineRule="auto"/>
        <w:ind w:left="0" w:right="-3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Assinaturas</w:t>
      </w:r>
    </w:p>
    <w:p w:rsidR="00000000" w:rsidDel="00000000" w:rsidP="00000000" w:rsidRDefault="00000000" w:rsidRPr="00000000" w14:paraId="000000D8">
      <w:pPr>
        <w:widowControl w:val="0"/>
        <w:spacing w:after="113" w:before="0" w:line="360" w:lineRule="auto"/>
        <w:ind w:left="0" w:right="-3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Representante legal do órgão gerenciador e representante(s) legal(is) do(s) fornecedor(s) registrado(s)</w:t>
      </w:r>
    </w:p>
    <w:sectPr>
      <w:headerReference r:id="rId10" w:type="default"/>
      <w:footerReference r:id="rId11" w:type="default"/>
      <w:pgSz w:h="16838" w:w="11906" w:orient="portrait"/>
      <w:pgMar w:bottom="1988" w:top="2961" w:left="1701" w:right="1701" w:header="709" w:footer="709"/>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Autor" w:id="3" w:date="2023-09-13T19:45:24Z">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Nota Explicativa: A sanção só cabe se o remanescente já assinou a ata e depois não atende convocação para firmar contrato ou instrumento equivalente: "Art. 45.  Após a homologação, o licitante vencedor será convocado para assinar o termo de contrato ou a ata de registro de preços, ou aceitar ou retirar o instrumento equivalente, no prazo estabelecido no edital de licitação, sob pena de decair o direito à contratação, sem prejuízo das sanções previstas na Lei nº 14.133, de 2021, e em outras legislações aplicáveis. [...] § 4º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5º A regra do § 4º não se aplicará aos licitantes remanescentes convocados na forma do inciso I do § 3º."</w:t>
      </w:r>
    </w:p>
  </w:comment>
  <w:comment w:author="Autor" w:id="2" w:date="2023-09-13T19:45:24Z">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Nota Explicativa: Art. 32.  Serão observadas as seguintes regras de controle para a adesão à ata de registro de preços de que trata o art. 31:</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 as aquisições ou as contratações adicionais não poderão exceder, por órgão ou entidade, a cinquenta por cento dos quantitativos dos itens do instrumento convocatório registrados na ata de registro de preços para o órgão ou a entidade gerenciadora e para os órgãos ou as entidades participantes; e</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II - o quantitativo decorrente das adesões não poderá exceder, na totalidade, ao dobro do quantitativo de cada item registrado na ata de registro de preços para o órgão ou a entidade gerenciadora e os órgãos ou as entidades participantes, independentemente do número de órgãos ou entidades não participantes que aderirem à ata de registro de preços.</w:t>
      </w:r>
    </w:p>
  </w:comment>
  <w:comment w:author="Autor" w:id="0" w:date="2023-09-13T19:45:24Z">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Nota Explicativa: Restringindo-se o reequilíbrio a alguns itens fornecidos em circunstâncias específicas, a ata poderá prever preços distintos na forma do artigo 82, III, da Lei nº 14.133, de 2021.</w:t>
      </w:r>
    </w:p>
  </w:comment>
  <w:comment w:author="Autor" w:id="1" w:date="2023-09-13T19:45:24Z">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Nota Explicativa: O §3º do art. 28 do Decreto nº 11.462/2023, prevê: "§ 3º  Na hipótese de cancelamento do registro do fornecedor, o órgão ou a entidade gerenciadora poderá convocar os licitantes que compõem o cadastro de reserva, observada a ordem de classificação."</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0E4" w15:done="0"/>
  <w15:commentEx w15:paraId="000000E7" w15:done="0"/>
  <w15:commentEx w15:paraId="000000E8" w15:done="0"/>
  <w15:commentEx w15:paraId="000000E9"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Verdana"/>
  <w:font w:name="Georgia"/>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Ecofont_Spranq_eco_San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E">
    <w:pPr>
      <w:keepNext w:val="0"/>
      <w:keepLines w:val="0"/>
      <w:widowControl w:val="1"/>
      <w:shd w:fill="auto" w:val="clear"/>
      <w:tabs>
        <w:tab w:val="center" w:leader="none" w:pos="4252"/>
        <w:tab w:val="right" w:leader="none" w:pos="8504"/>
      </w:tabs>
      <w:spacing w:after="0" w:before="0" w:line="240" w:lineRule="auto"/>
      <w:ind w:left="0" w:right="0" w:firstLine="0"/>
      <w:jc w:val="right"/>
      <w:rPr>
        <w:rFonts w:ascii="Roboto" w:cs="Roboto" w:eastAsia="Roboto" w:hAnsi="Roboto"/>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widowControl w:val="1"/>
      <w:shd w:fill="auto" w:val="clear"/>
      <w:tabs>
        <w:tab w:val="center" w:leader="none" w:pos="4252"/>
        <w:tab w:val="right" w:leader="none" w:pos="8504"/>
      </w:tabs>
      <w:spacing w:after="0" w:before="0" w:line="240" w:lineRule="auto"/>
      <w:ind w:left="0" w:right="0" w:firstLine="0"/>
      <w:jc w:val="right"/>
      <w:rPr>
        <w:rFonts w:ascii="Arial" w:cs="Arial" w:eastAsia="Arial" w:hAnsi="Arial"/>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Processo Administrativo: </w:t>
    </w:r>
    <w:r w:rsidDel="00000000" w:rsidR="00000000" w:rsidRPr="00000000">
      <w:rPr>
        <w:rFonts w:ascii="Arial" w:cs="Arial" w:eastAsia="Arial" w:hAnsi="Arial"/>
        <w:sz w:val="18"/>
        <w:szCs w:val="18"/>
        <w:rtl w:val="0"/>
      </w:rPr>
      <w:t xml:space="preserve">23422.015585/2023-00</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w:t>
      <w:tab/>
      <w:t xml:space="preserve">                                                          </w:t>
    </w:r>
    <w:r w:rsidDel="00000000" w:rsidR="00000000" w:rsidRPr="00000000">
      <w:rPr>
        <w:rFonts w:ascii="Arial" w:cs="Arial" w:eastAsia="Arial" w:hAnsi="Arial"/>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rPr>
      <w:fldChar w:fldCharType="begin"/>
      <w:instrText xml:space="preserve">PAGE</w:instrText>
      <w:fldChar w:fldCharType="separate"/>
      <w:fldChar w:fldCharType="end"/>
    </w:r>
    <w:r w:rsidDel="00000000" w:rsidR="00000000" w:rsidRPr="00000000">
      <w:rPr>
        <w:rFonts w:ascii="Arial" w:cs="Arial" w:eastAsia="Arial" w:hAnsi="Arial"/>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E0">
    <w:pPr>
      <w:keepNext w:val="0"/>
      <w:keepLines w:val="0"/>
      <w:widowControl w:val="1"/>
      <w:shd w:fill="auto" w:val="clear"/>
      <w:spacing w:after="0" w:before="28" w:line="240" w:lineRule="auto"/>
      <w:ind w:left="0" w:right="0" w:firstLine="0"/>
      <w:jc w:val="center"/>
      <w:rPr>
        <w:rFonts w:ascii="Arial" w:cs="Arial" w:eastAsia="Arial" w:hAnsi="Arial"/>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widowControl w:val="1"/>
      <w:shd w:fill="auto" w:val="clear"/>
      <w:spacing w:after="0" w:before="28" w:line="240" w:lineRule="auto"/>
      <w:ind w:left="0" w:right="0" w:firstLine="0"/>
      <w:jc w:val="center"/>
      <w:rPr>
        <w:rFonts w:ascii="Arial" w:cs="Arial" w:eastAsia="Arial" w:hAnsi="Arial"/>
      </w:rPr>
    </w:pPr>
    <w:r w:rsidDel="00000000" w:rsidR="00000000" w:rsidRPr="00000000">
      <w:rPr>
        <w:rFonts w:ascii="Arial" w:cs="Arial" w:eastAsia="Arial" w:hAnsi="Arial"/>
        <w:i w:val="0"/>
        <w:smallCaps w:val="0"/>
        <w:strike w:val="0"/>
        <w:color w:val="000000"/>
        <w:sz w:val="16"/>
        <w:szCs w:val="16"/>
        <w:u w:val="none"/>
        <w:shd w:fill="auto" w:val="clear"/>
        <w:vertAlign w:val="baseline"/>
        <w:rtl w:val="0"/>
      </w:rPr>
      <w:tab/>
      <w:tab/>
      <w:t xml:space="preserve">Avenida Tancredo Neves, nº 3.147, Itaipu B, na cidade de Foz do Iguaçu, Estado do Paraná, </w:t>
    </w:r>
    <w:r w:rsidDel="00000000" w:rsidR="00000000" w:rsidRPr="00000000">
      <w:rPr>
        <w:rtl w:val="0"/>
      </w:rPr>
    </w:r>
  </w:p>
  <w:p w:rsidR="00000000" w:rsidDel="00000000" w:rsidP="00000000" w:rsidRDefault="00000000" w:rsidRPr="00000000" w14:paraId="000000E2">
    <w:pPr>
      <w:widowControl w:val="1"/>
      <w:shd w:fill="auto" w:val="clear"/>
      <w:spacing w:after="0" w:before="28" w:line="240" w:lineRule="auto"/>
      <w:ind w:left="0" w:right="0" w:firstLine="0"/>
      <w:jc w:val="center"/>
      <w:rPr/>
    </w:pPr>
    <w:r w:rsidDel="00000000" w:rsidR="00000000" w:rsidRPr="00000000">
      <w:rPr>
        <w:rFonts w:ascii="Arial" w:cs="Arial" w:eastAsia="Arial" w:hAnsi="Arial"/>
        <w:i w:val="0"/>
        <w:smallCaps w:val="0"/>
        <w:strike w:val="0"/>
        <w:color w:val="000000"/>
        <w:sz w:val="16"/>
        <w:szCs w:val="16"/>
        <w:u w:val="none"/>
        <w:shd w:fill="auto" w:val="clear"/>
        <w:vertAlign w:val="baseline"/>
        <w:rtl w:val="0"/>
      </w:rPr>
      <w:t xml:space="preserve">CEP 85.867-000 - Fone: (45) 35</w:t>
    </w:r>
    <w:r w:rsidDel="00000000" w:rsidR="00000000" w:rsidRPr="00000000">
      <w:rPr>
        <w:rFonts w:ascii="Arial" w:cs="Arial" w:eastAsia="Arial" w:hAnsi="Arial"/>
        <w:sz w:val="16"/>
        <w:szCs w:val="16"/>
        <w:rtl w:val="0"/>
      </w:rPr>
      <w:t xml:space="preserve">22</w:t>
    </w:r>
    <w:r w:rsidDel="00000000" w:rsidR="00000000" w:rsidRPr="00000000">
      <w:rPr>
        <w:rFonts w:ascii="Arial" w:cs="Arial" w:eastAsia="Arial" w:hAnsi="Arial"/>
        <w:i w:val="0"/>
        <w:smallCaps w:val="0"/>
        <w:strike w:val="0"/>
        <w:color w:val="000000"/>
        <w:sz w:val="16"/>
        <w:szCs w:val="16"/>
        <w:u w:val="none"/>
        <w:shd w:fill="auto" w:val="clear"/>
        <w:vertAlign w:val="baseline"/>
        <w:rtl w:val="0"/>
      </w:rPr>
      <w:t xml:space="preserve">-9743 -  </w:t>
    </w:r>
    <w:hyperlink r:id="rId1">
      <w:r w:rsidDel="00000000" w:rsidR="00000000" w:rsidRPr="00000000">
        <w:rPr>
          <w:rFonts w:ascii="Arial" w:cs="Arial" w:eastAsia="Arial" w:hAnsi="Arial"/>
          <w:i w:val="0"/>
          <w:smallCaps w:val="0"/>
          <w:strike w:val="0"/>
          <w:color w:val="0000ff"/>
          <w:sz w:val="16"/>
          <w:szCs w:val="16"/>
          <w:u w:val="none"/>
          <w:shd w:fill="auto" w:val="clear"/>
          <w:vertAlign w:val="baseline"/>
          <w:rtl w:val="0"/>
        </w:rPr>
        <w:t xml:space="preserve">www.portal.unila.edu.br</w:t>
      </w:r>
    </w:hyperlink>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9">
    <w:pPr>
      <w:keepNext w:val="0"/>
      <w:keepLines w:val="0"/>
      <w:widowControl w:val="1"/>
      <w:shd w:fill="auto" w:val="clear"/>
      <w:tabs>
        <w:tab w:val="center" w:leader="none" w:pos="4252"/>
        <w:tab w:val="right" w:leader="none" w:pos="8504"/>
      </w:tabs>
      <w:spacing w:after="0" w:before="0" w:line="240" w:lineRule="auto"/>
      <w:ind w:left="0" w:right="0" w:firstLine="0"/>
      <w:jc w:val="center"/>
      <w:rPr>
        <w:rFonts w:ascii="Roboto" w:cs="Roboto" w:eastAsia="Roboto" w:hAnsi="Roboto"/>
        <w:i w:val="0"/>
        <w:smallCaps w:val="0"/>
        <w:strike w:val="0"/>
        <w:color w:val="000000"/>
        <w:sz w:val="24"/>
        <w:szCs w:val="24"/>
        <w:u w:val="none"/>
        <w:shd w:fill="auto" w:val="clear"/>
        <w:vertAlign w:val="baseline"/>
      </w:rPr>
    </w:pPr>
    <w:r w:rsidDel="00000000" w:rsidR="00000000" w:rsidRPr="00000000">
      <w:rPr/>
      <w:drawing>
        <wp:inline distB="0" distT="0" distL="0" distR="0">
          <wp:extent cx="644525" cy="647700"/>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44525" cy="647700"/>
                  </a:xfrm>
                  <a:prstGeom prst="rect"/>
                  <a:ln/>
                </pic:spPr>
              </pic:pic>
            </a:graphicData>
          </a:graphic>
        </wp:inline>
      </w:drawing>
    </w:r>
    <w:r w:rsidDel="00000000" w:rsidR="00000000" w:rsidRPr="00000000">
      <w:rPr>
        <w:rtl w:val="0"/>
      </w:rPr>
    </w:r>
  </w:p>
  <w:p w:rsidR="00000000" w:rsidDel="00000000" w:rsidP="00000000" w:rsidRDefault="00000000" w:rsidRPr="00000000" w14:paraId="000000DA">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 w:val="right" w:leader="none" w:pos="9360"/>
      </w:tabs>
      <w:spacing w:after="0" w:before="0" w:line="240" w:lineRule="auto"/>
      <w:ind w:left="576" w:right="0" w:hanging="576"/>
      <w:jc w:val="center"/>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Ministério da Educação</w:t>
    </w:r>
    <w:r w:rsidDel="00000000" w:rsidR="00000000" w:rsidRPr="00000000">
      <w:rPr>
        <w:rtl w:val="0"/>
      </w:rPr>
    </w:r>
  </w:p>
  <w:p w:rsidR="00000000" w:rsidDel="00000000" w:rsidP="00000000" w:rsidRDefault="00000000" w:rsidRPr="00000000" w14:paraId="000000DB">
    <w:pPr>
      <w:tabs>
        <w:tab w:val="right" w:leader="none" w:pos="9360"/>
      </w:tabs>
      <w:jc w:val="center"/>
      <w:rPr>
        <w:rFonts w:ascii="Arial" w:cs="Arial" w:eastAsia="Arial" w:hAnsi="Arial"/>
      </w:rPr>
    </w:pPr>
    <w:r w:rsidDel="00000000" w:rsidR="00000000" w:rsidRPr="00000000">
      <w:rPr>
        <w:rFonts w:ascii="Arial" w:cs="Arial" w:eastAsia="Arial" w:hAnsi="Arial"/>
        <w:b w:val="1"/>
        <w:sz w:val="20"/>
        <w:szCs w:val="20"/>
        <w:rtl w:val="0"/>
      </w:rPr>
      <w:t xml:space="preserve">Universidade Federal da Integração Latino-Americana</w:t>
    </w:r>
    <w:r w:rsidDel="00000000" w:rsidR="00000000" w:rsidRPr="00000000">
      <w:rPr>
        <w:rtl w:val="0"/>
      </w:rPr>
    </w:r>
  </w:p>
  <w:p w:rsidR="00000000" w:rsidDel="00000000" w:rsidP="00000000" w:rsidRDefault="00000000" w:rsidRPr="00000000" w14:paraId="000000DC">
    <w:pPr>
      <w:tabs>
        <w:tab w:val="right" w:leader="none" w:pos="9360"/>
      </w:tabs>
      <w:jc w:val="center"/>
      <w:rPr>
        <w:rFonts w:ascii="Arial" w:cs="Arial" w:eastAsia="Arial" w:hAnsi="Arial"/>
      </w:rPr>
    </w:pPr>
    <w:r w:rsidDel="00000000" w:rsidR="00000000" w:rsidRPr="00000000">
      <w:rPr>
        <w:rFonts w:ascii="Arial" w:cs="Arial" w:eastAsia="Arial" w:hAnsi="Arial"/>
        <w:sz w:val="20"/>
        <w:szCs w:val="20"/>
        <w:rtl w:val="0"/>
      </w:rPr>
      <w:t xml:space="preserve">Pró-Reitoria de Administração, Gestão e Infraestrutura</w:t>
    </w:r>
    <w:r w:rsidDel="00000000" w:rsidR="00000000" w:rsidRPr="00000000">
      <w:rPr>
        <w:rtl w:val="0"/>
      </w:rPr>
    </w:r>
  </w:p>
  <w:p w:rsidR="00000000" w:rsidDel="00000000" w:rsidP="00000000" w:rsidRDefault="00000000" w:rsidRPr="00000000" w14:paraId="000000DD">
    <w:pPr>
      <w:numPr>
        <w:ilvl w:val="0"/>
        <w:numId w:val="3"/>
      </w:numPr>
      <w:tabs>
        <w:tab w:val="right" w:leader="none" w:pos="9360"/>
      </w:tabs>
      <w:ind w:left="432" w:hanging="432"/>
      <w:jc w:val="center"/>
      <w:rPr>
        <w:rFonts w:ascii="Arial" w:cs="Arial" w:eastAsia="Arial" w:hAnsi="Arial"/>
      </w:rPr>
    </w:pPr>
    <w:r w:rsidDel="00000000" w:rsidR="00000000" w:rsidRPr="00000000">
      <w:rPr>
        <w:rFonts w:ascii="Arial" w:cs="Arial" w:eastAsia="Arial" w:hAnsi="Arial"/>
        <w:color w:val="000000"/>
        <w:sz w:val="20"/>
        <w:szCs w:val="20"/>
        <w:rtl w:val="0"/>
      </w:rPr>
      <w:t xml:space="preserve">Coordenadoria de Compras, Contratos e Licitações</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
      <w:lvlJc w:val="left"/>
      <w:pPr>
        <w:ind w:left="576" w:hanging="576"/>
      </w:pPr>
      <w:rPr/>
    </w:lvl>
    <w:lvl w:ilvl="2">
      <w:start w:val="1"/>
      <w:numFmt w:val="decimal"/>
      <w:lvlText w:val=""/>
      <w:lvlJc w:val="left"/>
      <w:pPr>
        <w:ind w:left="720" w:hanging="720"/>
      </w:pPr>
      <w:rPr/>
    </w:lvl>
    <w:lvl w:ilvl="3">
      <w:start w:val="1"/>
      <w:numFmt w:val="decimal"/>
      <w:lvlText w:val=""/>
      <w:lvlJc w:val="left"/>
      <w:pPr>
        <w:ind w:left="864" w:hanging="864"/>
      </w:pPr>
      <w:rPr/>
    </w:lvl>
    <w:lvl w:ilvl="4">
      <w:start w:val="1"/>
      <w:numFmt w:val="decimal"/>
      <w:lvlText w:val=""/>
      <w:lvlJc w:val="left"/>
      <w:pPr>
        <w:ind w:left="1008" w:hanging="1008"/>
      </w:pPr>
      <w:rPr/>
    </w:lvl>
    <w:lvl w:ilvl="5">
      <w:start w:val="1"/>
      <w:numFmt w:val="decimal"/>
      <w:lvlText w:val=""/>
      <w:lvlJc w:val="left"/>
      <w:pPr>
        <w:ind w:left="1152" w:hanging="1152"/>
      </w:pPr>
      <w:rPr/>
    </w:lvl>
    <w:lvl w:ilvl="6">
      <w:start w:val="1"/>
      <w:numFmt w:val="decimal"/>
      <w:lvlText w:val=""/>
      <w:lvlJc w:val="left"/>
      <w:pPr>
        <w:ind w:left="1296" w:hanging="1296"/>
      </w:pPr>
      <w:rPr/>
    </w:lvl>
    <w:lvl w:ilvl="7">
      <w:start w:val="1"/>
      <w:numFmt w:val="decimal"/>
      <w:lvlText w:val=""/>
      <w:lvlJc w:val="left"/>
      <w:pPr>
        <w:ind w:left="1440" w:hanging="1440"/>
      </w:pPr>
      <w:rPr/>
    </w:lvl>
    <w:lvl w:ilvl="8">
      <w:start w:val="1"/>
      <w:numFmt w:val="decimal"/>
      <w:lvlText w:val=""/>
      <w:lvlJc w:val="left"/>
      <w:pPr>
        <w:ind w:left="1584" w:hanging="1584"/>
      </w:pPr>
      <w:rPr/>
    </w:lvl>
  </w:abstractNum>
  <w:abstractNum w:abstractNumId="2">
    <w:lvl w:ilvl="0">
      <w:start w:val="1"/>
      <w:numFmt w:val="decimal"/>
      <w:lvlText w:val="%1."/>
      <w:lvlJc w:val="left"/>
      <w:pPr>
        <w:ind w:left="360" w:hanging="360"/>
      </w:pPr>
      <w:rPr>
        <w:rFonts w:ascii="Arial" w:cs="Arial" w:eastAsia="Arial" w:hAnsi="Arial"/>
        <w:b w:val="1"/>
        <w:i w:val="0"/>
        <w:sz w:val="20"/>
        <w:szCs w:val="20"/>
      </w:rPr>
    </w:lvl>
    <w:lvl w:ilvl="1">
      <w:start w:val="1"/>
      <w:numFmt w:val="decimal"/>
      <w:lvlText w:val="%1.%2."/>
      <w:lvlJc w:val="left"/>
      <w:pPr>
        <w:ind w:left="1283" w:hanging="430.9999999999993"/>
      </w:pPr>
      <w:rPr>
        <w:rFonts w:ascii="Arial" w:cs="Arial" w:eastAsia="Arial" w:hAnsi="Arial"/>
        <w:b w:val="0"/>
        <w:i w:val="0"/>
        <w:sz w:val="20"/>
        <w:szCs w:val="20"/>
      </w:rPr>
    </w:lvl>
    <w:lvl w:ilvl="2">
      <w:start w:val="1"/>
      <w:numFmt w:val="decimal"/>
      <w:lvlText w:val="%1.%2.%3."/>
      <w:lvlJc w:val="left"/>
      <w:pPr>
        <w:ind w:left="1497" w:hanging="504.0000000000007"/>
      </w:pPr>
      <w:rPr>
        <w:b w:val="1"/>
        <w:i w:val="0"/>
        <w:sz w:val="20"/>
        <w:szCs w:val="20"/>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4.9999999999986"/>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
      <w:lvlJc w:val="left"/>
      <w:pPr>
        <w:ind w:left="432" w:hanging="432"/>
      </w:pPr>
      <w:rPr/>
    </w:lvl>
    <w:lvl w:ilvl="1">
      <w:start w:val="1"/>
      <w:numFmt w:val="decimal"/>
      <w:lvlText w:val=""/>
      <w:lvlJc w:val="left"/>
      <w:pPr>
        <w:ind w:left="576" w:hanging="576"/>
      </w:pPr>
      <w:rPr/>
    </w:lvl>
    <w:lvl w:ilvl="2">
      <w:start w:val="1"/>
      <w:numFmt w:val="decimal"/>
      <w:lvlText w:val=""/>
      <w:lvlJc w:val="left"/>
      <w:pPr>
        <w:ind w:left="720" w:hanging="720"/>
      </w:pPr>
      <w:rPr/>
    </w:lvl>
    <w:lvl w:ilvl="3">
      <w:start w:val="1"/>
      <w:numFmt w:val="decimal"/>
      <w:lvlText w:val=""/>
      <w:lvlJc w:val="left"/>
      <w:pPr>
        <w:ind w:left="864" w:hanging="864"/>
      </w:pPr>
      <w:rPr/>
    </w:lvl>
    <w:lvl w:ilvl="4">
      <w:start w:val="1"/>
      <w:numFmt w:val="decimal"/>
      <w:lvlText w:val=""/>
      <w:lvlJc w:val="left"/>
      <w:pPr>
        <w:ind w:left="1008" w:hanging="1008"/>
      </w:pPr>
      <w:rPr/>
    </w:lvl>
    <w:lvl w:ilvl="5">
      <w:start w:val="1"/>
      <w:numFmt w:val="decimal"/>
      <w:lvlText w:val=""/>
      <w:lvlJc w:val="left"/>
      <w:pPr>
        <w:ind w:left="1152" w:hanging="1152"/>
      </w:pPr>
      <w:rPr/>
    </w:lvl>
    <w:lvl w:ilvl="6">
      <w:start w:val="1"/>
      <w:numFmt w:val="decimal"/>
      <w:lvlText w:val=""/>
      <w:lvlJc w:val="left"/>
      <w:pPr>
        <w:ind w:left="1296" w:hanging="1296"/>
      </w:pPr>
      <w:rPr/>
    </w:lvl>
    <w:lvl w:ilvl="7">
      <w:start w:val="1"/>
      <w:numFmt w:val="decimal"/>
      <w:lvlText w:val=""/>
      <w:lvlJc w:val="left"/>
      <w:pPr>
        <w:ind w:left="1440" w:hanging="1440"/>
      </w:pPr>
      <w:rPr/>
    </w:lvl>
    <w:lvl w:ilvl="8">
      <w:start w:val="1"/>
      <w:numFmt w:val="decimal"/>
      <w:lvlText w:val=""/>
      <w:lvlJc w:val="left"/>
      <w:pPr>
        <w:ind w:left="1584" w:hanging="1584"/>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Ecofont_Spranq_eco_Sans" w:cs="Ecofont_Spranq_eco_Sans" w:eastAsia="Ecofont_Spranq_eco_Sans" w:hAnsi="Ecofont_Spranq_eco_Sans"/>
        <w:sz w:val="24"/>
        <w:szCs w:val="24"/>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120" w:before="240" w:line="240" w:lineRule="auto"/>
      <w:ind w:left="432" w:hanging="432"/>
    </w:pPr>
    <w:rPr>
      <w:rFonts w:ascii="Times New Roman" w:cs="Times New Roman" w:eastAsia="Times New Roman" w:hAnsi="Times New Roman"/>
      <w:b w:val="1"/>
      <w:sz w:val="28"/>
      <w:szCs w:val="28"/>
    </w:rPr>
  </w:style>
  <w:style w:type="paragraph" w:styleId="Heading2">
    <w:name w:val="heading 2"/>
    <w:basedOn w:val="Normal"/>
    <w:next w:val="Normal"/>
    <w:pPr>
      <w:keepNext w:val="1"/>
      <w:ind w:left="576" w:hanging="576"/>
    </w:pPr>
    <w:rPr>
      <w:rFonts w:ascii="Verdana" w:cs="Verdana" w:eastAsia="Verdana" w:hAnsi="Verdana"/>
      <w:sz w:val="28"/>
      <w:szCs w:val="28"/>
    </w:rPr>
  </w:style>
  <w:style w:type="paragraph" w:styleId="Heading3">
    <w:name w:val="heading 3"/>
    <w:basedOn w:val="Normal"/>
    <w:next w:val="Normal"/>
    <w:pPr>
      <w:keepNext w:val="1"/>
      <w:keepLines w:val="1"/>
      <w:pageBreakBefore w:val="0"/>
      <w:spacing w:after="80" w:before="280" w:line="240" w:lineRule="auto"/>
    </w:pPr>
    <w:rPr>
      <w:b w:val="1"/>
      <w:sz w:val="28"/>
      <w:szCs w:val="28"/>
    </w:rPr>
  </w:style>
  <w:style w:type="paragraph" w:styleId="Heading4">
    <w:name w:val="heading 4"/>
    <w:basedOn w:val="Normal"/>
    <w:next w:val="Normal"/>
    <w:pPr>
      <w:keepNext w:val="1"/>
      <w:keepLines w:val="1"/>
      <w:pageBreakBefore w:val="0"/>
      <w:spacing w:after="40" w:before="240" w:line="240" w:lineRule="auto"/>
    </w:pPr>
    <w:rPr>
      <w:b w:val="1"/>
      <w:sz w:val="24"/>
      <w:szCs w:val="24"/>
    </w:rPr>
  </w:style>
  <w:style w:type="paragraph" w:styleId="Heading5">
    <w:name w:val="heading 5"/>
    <w:basedOn w:val="Normal"/>
    <w:next w:val="Normal"/>
    <w:pPr>
      <w:keepNext w:val="1"/>
      <w:keepLines w:val="1"/>
      <w:pageBreakBefore w:val="0"/>
      <w:spacing w:after="40" w:before="220" w:line="240" w:lineRule="auto"/>
    </w:pPr>
    <w:rPr>
      <w:b w:val="1"/>
      <w:sz w:val="22"/>
      <w:szCs w:val="22"/>
    </w:rPr>
  </w:style>
  <w:style w:type="paragraph" w:styleId="Heading6">
    <w:name w:val="heading 6"/>
    <w:basedOn w:val="Normal"/>
    <w:next w:val="Normal"/>
    <w:pPr>
      <w:keepNext w:val="1"/>
      <w:keepLines w:val="1"/>
      <w:pageBreakBefore w:val="0"/>
      <w:spacing w:after="40" w:before="200" w:line="240" w:lineRule="auto"/>
    </w:pPr>
    <w:rPr>
      <w:b w:val="1"/>
      <w:sz w:val="20"/>
      <w:szCs w:val="20"/>
    </w:rPr>
  </w:style>
  <w:style w:type="paragraph" w:styleId="Title">
    <w:name w:val="Title"/>
    <w:basedOn w:val="Normal"/>
    <w:next w:val="Normal"/>
    <w:pPr>
      <w:keepNext w:val="1"/>
      <w:keepLines w:val="1"/>
      <w:pageBreakBefore w:val="0"/>
      <w:spacing w:after="120" w:before="480" w:line="24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120" w:before="240" w:line="240" w:lineRule="auto"/>
      <w:ind w:left="432" w:hanging="432"/>
    </w:pPr>
    <w:rPr>
      <w:rFonts w:ascii="Times New Roman" w:cs="Times New Roman" w:eastAsia="Times New Roman" w:hAnsi="Times New Roman"/>
      <w:b w:val="1"/>
      <w:sz w:val="28"/>
      <w:szCs w:val="28"/>
    </w:rPr>
  </w:style>
  <w:style w:type="paragraph" w:styleId="Heading2">
    <w:name w:val="heading 2"/>
    <w:basedOn w:val="Normal"/>
    <w:next w:val="Normal"/>
    <w:pPr>
      <w:keepNext w:val="1"/>
      <w:ind w:left="576" w:hanging="576"/>
    </w:pPr>
    <w:rPr>
      <w:rFonts w:ascii="Verdana" w:cs="Verdana" w:eastAsia="Verdana" w:hAnsi="Verdana"/>
      <w:sz w:val="28"/>
      <w:szCs w:val="28"/>
    </w:rPr>
  </w:style>
  <w:style w:type="paragraph" w:styleId="Heading3">
    <w:name w:val="heading 3"/>
    <w:basedOn w:val="Normal"/>
    <w:next w:val="Normal"/>
    <w:pPr>
      <w:keepNext w:val="1"/>
      <w:keepLines w:val="1"/>
      <w:pageBreakBefore w:val="0"/>
      <w:spacing w:after="80" w:before="280" w:line="240" w:lineRule="auto"/>
    </w:pPr>
    <w:rPr>
      <w:b w:val="1"/>
      <w:sz w:val="28"/>
      <w:szCs w:val="28"/>
    </w:rPr>
  </w:style>
  <w:style w:type="paragraph" w:styleId="Heading4">
    <w:name w:val="heading 4"/>
    <w:basedOn w:val="Normal"/>
    <w:next w:val="Normal"/>
    <w:pPr>
      <w:keepNext w:val="1"/>
      <w:keepLines w:val="1"/>
      <w:pageBreakBefore w:val="0"/>
      <w:spacing w:after="40" w:before="240" w:line="240" w:lineRule="auto"/>
    </w:pPr>
    <w:rPr>
      <w:b w:val="1"/>
      <w:sz w:val="24"/>
      <w:szCs w:val="24"/>
    </w:rPr>
  </w:style>
  <w:style w:type="paragraph" w:styleId="Heading5">
    <w:name w:val="heading 5"/>
    <w:basedOn w:val="Normal"/>
    <w:next w:val="Normal"/>
    <w:pPr>
      <w:keepNext w:val="1"/>
      <w:keepLines w:val="1"/>
      <w:pageBreakBefore w:val="0"/>
      <w:spacing w:after="40" w:before="220" w:line="240" w:lineRule="auto"/>
    </w:pPr>
    <w:rPr>
      <w:b w:val="1"/>
      <w:sz w:val="22"/>
      <w:szCs w:val="22"/>
    </w:rPr>
  </w:style>
  <w:style w:type="paragraph" w:styleId="Heading6">
    <w:name w:val="heading 6"/>
    <w:basedOn w:val="Normal"/>
    <w:next w:val="Normal"/>
    <w:pPr>
      <w:keepNext w:val="1"/>
      <w:keepLines w:val="1"/>
      <w:pageBreakBefore w:val="0"/>
      <w:spacing w:after="40" w:before="200" w:line="240" w:lineRule="auto"/>
    </w:pPr>
    <w:rPr>
      <w:b w:val="1"/>
      <w:sz w:val="20"/>
      <w:szCs w:val="20"/>
    </w:rPr>
  </w:style>
  <w:style w:type="paragraph" w:styleId="Title">
    <w:name w:val="Title"/>
    <w:basedOn w:val="Normal"/>
    <w:next w:val="Normal"/>
    <w:pPr>
      <w:keepNext w:val="1"/>
      <w:keepLines w:val="1"/>
      <w:pageBreakBefore w:val="0"/>
      <w:spacing w:after="120" w:before="480" w:line="24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120" w:before="240" w:line="240" w:lineRule="auto"/>
      <w:ind w:left="432" w:hanging="432"/>
    </w:pPr>
    <w:rPr>
      <w:rFonts w:ascii="Times New Roman" w:cs="Times New Roman" w:eastAsia="Times New Roman" w:hAnsi="Times New Roman"/>
      <w:b w:val="1"/>
      <w:sz w:val="28"/>
      <w:szCs w:val="28"/>
    </w:rPr>
  </w:style>
  <w:style w:type="paragraph" w:styleId="Heading2">
    <w:name w:val="heading 2"/>
    <w:basedOn w:val="Normal"/>
    <w:next w:val="Normal"/>
    <w:pPr>
      <w:keepNext w:val="1"/>
      <w:ind w:left="576" w:hanging="576"/>
    </w:pPr>
    <w:rPr>
      <w:rFonts w:ascii="Verdana" w:cs="Verdana" w:eastAsia="Verdana" w:hAnsi="Verdana"/>
      <w:sz w:val="28"/>
      <w:szCs w:val="28"/>
    </w:rPr>
  </w:style>
  <w:style w:type="paragraph" w:styleId="Heading3">
    <w:name w:val="heading 3"/>
    <w:basedOn w:val="Normal"/>
    <w:next w:val="Normal"/>
    <w:pPr>
      <w:keepNext w:val="1"/>
      <w:keepLines w:val="1"/>
      <w:pageBreakBefore w:val="0"/>
      <w:spacing w:after="80" w:before="280" w:line="240" w:lineRule="auto"/>
    </w:pPr>
    <w:rPr>
      <w:b w:val="1"/>
      <w:sz w:val="28"/>
      <w:szCs w:val="28"/>
    </w:rPr>
  </w:style>
  <w:style w:type="paragraph" w:styleId="Heading4">
    <w:name w:val="heading 4"/>
    <w:basedOn w:val="Normal"/>
    <w:next w:val="Normal"/>
    <w:pPr>
      <w:keepNext w:val="1"/>
      <w:keepLines w:val="1"/>
      <w:pageBreakBefore w:val="0"/>
      <w:spacing w:after="40" w:before="240" w:line="240" w:lineRule="auto"/>
    </w:pPr>
    <w:rPr>
      <w:b w:val="1"/>
      <w:sz w:val="24"/>
      <w:szCs w:val="24"/>
    </w:rPr>
  </w:style>
  <w:style w:type="paragraph" w:styleId="Heading5">
    <w:name w:val="heading 5"/>
    <w:basedOn w:val="Normal"/>
    <w:next w:val="Normal"/>
    <w:pPr>
      <w:keepNext w:val="1"/>
      <w:keepLines w:val="1"/>
      <w:pageBreakBefore w:val="0"/>
      <w:spacing w:after="40" w:before="220" w:line="240" w:lineRule="auto"/>
    </w:pPr>
    <w:rPr>
      <w:b w:val="1"/>
      <w:sz w:val="22"/>
      <w:szCs w:val="22"/>
    </w:rPr>
  </w:style>
  <w:style w:type="paragraph" w:styleId="Heading6">
    <w:name w:val="heading 6"/>
    <w:basedOn w:val="Normal"/>
    <w:next w:val="Normal"/>
    <w:pPr>
      <w:keepNext w:val="1"/>
      <w:keepLines w:val="1"/>
      <w:pageBreakBefore w:val="0"/>
      <w:spacing w:after="40" w:before="200" w:line="240" w:lineRule="auto"/>
    </w:pPr>
    <w:rPr>
      <w:b w:val="1"/>
      <w:sz w:val="20"/>
      <w:szCs w:val="20"/>
    </w:rPr>
  </w:style>
  <w:style w:type="paragraph" w:styleId="Title">
    <w:name w:val="Title"/>
    <w:basedOn w:val="Normal"/>
    <w:next w:val="Normal"/>
    <w:pPr>
      <w:keepNext w:val="1"/>
      <w:keepLines w:val="1"/>
      <w:pageBreakBefore w:val="0"/>
      <w:spacing w:after="120" w:before="480" w:line="240" w:lineRule="auto"/>
    </w:pPr>
    <w:rPr>
      <w:b w:val="1"/>
      <w:sz w:val="72"/>
      <w:szCs w:val="72"/>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55.0" w:type="dxa"/>
        <w:left w:w="54.0" w:type="dxa"/>
        <w:bottom w:w="55.0" w:type="dxa"/>
        <w:right w:w="55.0" w:type="dxa"/>
      </w:tblCellMar>
    </w:tblPr>
  </w:style>
  <w:style w:type="table" w:styleId="Table2">
    <w:basedOn w:val="TableNormal"/>
    <w:tblPr>
      <w:tblStyleRowBandSize w:val="1"/>
      <w:tblStyleColBandSize w:val="1"/>
      <w:tblCellMar>
        <w:top w:w="55.0" w:type="dxa"/>
        <w:left w:w="54.0" w:type="dxa"/>
        <w:bottom w:w="55.0" w:type="dxa"/>
        <w:right w:w="55.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55.0" w:type="dxa"/>
        <w:left w:w="54.0" w:type="dxa"/>
        <w:bottom w:w="55.0" w:type="dxa"/>
        <w:right w:w="55.0" w:type="dxa"/>
      </w:tblCellMar>
    </w:tblPr>
  </w:style>
  <w:style w:type="table" w:styleId="Table2">
    <w:basedOn w:val="TableNormal"/>
    <w:tblPr>
      <w:tblStyleRowBandSize w:val="1"/>
      <w:tblStyleColBandSize w:val="1"/>
      <w:tblCellMar>
        <w:top w:w="55.0" w:type="dxa"/>
        <w:left w:w="54.0" w:type="dxa"/>
        <w:bottom w:w="55.0" w:type="dxa"/>
        <w:right w:w="55.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55.0" w:type="dxa"/>
        <w:left w:w="54.0" w:type="dxa"/>
        <w:bottom w:w="55.0" w:type="dxa"/>
        <w:right w:w="5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https://www.gov.br/agu/pt-br/composicao/cgu/cgu/modelos/licitacoesecontratos/14133/modelos-da-lei-no-14-133-21-para-pregao-e-concorrencia"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_rels/footer1.xml.rels><?xml version="1.0" encoding="UTF-8" standalone="yes"?><Relationships xmlns="http://schemas.openxmlformats.org/package/2006/relationships"><Relationship Id="rId1" Type="http://schemas.openxmlformats.org/officeDocument/2006/relationships/hyperlink" Target="http://www.unila.edu.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Jn/9Q/QJAeqx9cAmmQxJErfTtg==">CgMxLjAaJwoBMBIiCiAIBCocCgtBQUFBNXZDVll0SRAIGgtBQUFBNXZDVll0SRonCgExEiIKIAgEKhwKC0FBQUE1dkNWWXM4EAgaC0FBQUE1dkNWWXM4GicKATISIgogCAQqHAoLQUFBQTV2Q1ZZdEUQCBoLQUFBQTV2Q1ZZdEUaJwoBMxIiCiAIBCocCgtBQUFBNXZDVll0QRAIGgtBQUFBNXZDVll0QSLUGwoLQUFBQTV2Q1ZZdEESqhsKC0FBQUE1dkNWWXRBEgtBQUFBNXZDVll0QRrTCAoJdGV4dC9odG1sEsUITm90YSBFeHBsaWNhdGl2YTogQSBzYW7Dp8OjbyBzw7MgY2FiZSBzZSBvIHJlbWFuZXNjZW50ZSBqw6EgYXNzaW5vdSBhIGF0YSBlIGRlcG9pcyBuw6NvIGF0ZW5kZSBjb252b2Nhw6fDo28gcGFyYSBmaXJtYXIgY29udHJhdG8gb3UgaW5zdHJ1bWVudG8gZXF1aXZhbGVudGU6ICZxdW90O0FydC4gNDUuICBBcMOzcyBhIGhvbW9sb2dhw6fDo28sIG8gbGljaXRhbnRlIHZlbmNlZG9yIHNlcsOhIGNvbnZvY2FkbyBwYXJhIGFzc2luYXIgbyB0ZXJtbyBkZSBjb250cmF0byBvdSBhIGF0YSBkZSByZWdpc3RybyBkZSBwcmXDp29zLCBvdSBhY2VpdGFyIG91IHJldGlyYXIgbyBpbnN0cnVtZW50byBlcXVpdmFsZW50ZSwgbm8gcHJhem8gZXN0YWJlbGVjaWRvIG5vIGVkaXRhbCBkZSBsaWNpdGHDp8Ojbywgc29iIHBlbmEgZGUgZGVjYWlyIG8gZGlyZWl0byDDoCBjb250cmF0YcOnw6NvLCBzZW0gcHJlanXDrXpvIGRhcyBzYW7Dp8O1ZXMgcHJldmlzdGFzIG5hIExlaSBuwrogMTQuMTMzLCBkZSAyMDIxLCBlIGVtIG91dHJhcyBsZWdpc2xhw6fDtWVzIGFwbGljw6F2ZWlzLiBbLi4uXSDCpyA0wrogQSByZWN1c2EgaW5qdXN0aWZpY2FkYSBkbyBhZGp1ZGljYXTDoXJpbyBlbSBhc3NpbmFyIG8gY29udHJhdG8gb3UgYSBhdGEgZGUgcmVnaXN0cm8gZGUgcHJlw6dvLCBvdSBlbSBhY2VpdGFyIG91IHJldGlyYXIgbyBpbnN0cnVtZW50byBlcXVpdmFsZW50ZSBubyBwcmF6byBlc3RhYmVsZWNpZG8gcGVsYSBBZG1pbmlzdHJhw6fDo28gY2FyYWN0ZXJpemFyw6EgbyBkZXNjdW1wcmltZW50byB0b3RhbCBkYSBvYnJpZ2HDp8OjbyBhc3N1bWlkYSBlIG8gc3VqZWl0YXLDoSDDoHMgcGVuYWxpZGFkZXMgbGVnYWxtZW50ZSBlc3RhYmVsZWNpZGFzIGUgw6AgaW1lZGlhdGEgcGVyZGEgZGEgZ2FyYW50aWEgZGUgcHJvcG9zdGEgZW0gZmF2b3IgZG8gw7NyZ8OjbyBvdSBlbnRpZGFkZSBwcm9tb3RvcmEgZGEgbGljaXRhw6fDo28uPGJyPsKnIDXCuiBBIHJlZ3JhIGRvIMKnIDTCuiBuw6NvIHNlIGFwbGljYXLDoSBhb3MgbGljaXRhbnRlcyByZW1hbmVzY2VudGVzIGNvbnZvY2Fkb3MgbmEgZm9ybWEgZG8gaW5jaXNvIEkgZG8gwqcgM8K6LiZxdW90OyLHCAoKdGV4dC9wbGFpbhK4CE5vdGEgRXhwbGljYXRpdmE6IEEgc2Fuw6fDo28gc8OzIGNhYmUgc2UgbyByZW1hbmVzY2VudGUgasOhIGFzc2lub3UgYSBhdGEgZSBkZXBvaXMgbsOjbyBhdGVuZGUgY29udm9jYcOnw6NvIHBhcmEgZmlybWFyIGNvbnRyYXRvIG91IGluc3RydW1lbnRvIGVxdWl2YWxlbnRlOiAiQXJ0LiA0NS4gIEFww7NzIGEgaG9tb2xvZ2HDp8OjbywgbyBsaWNpdGFudGUgdmVuY2Vkb3Igc2Vyw6EgY29udm9jYWRvIHBhcmEgYXNzaW5hciBvIHRlcm1vIGRlIGNvbnRyYXRvIG91IGEgYXRhIGRlIHJlZ2lzdHJvIGRlIHByZcOnb3MsIG91IGFjZWl0YXIgb3UgcmV0aXJhciBvIGluc3RydW1lbnRvIGVxdWl2YWxlbnRlLCBubyBwcmF6byBlc3RhYmVsZWNpZG8gbm8gZWRpdGFsIGRlIGxpY2l0YcOnw6NvLCBzb2IgcGVuYSBkZSBkZWNhaXIgbyBkaXJlaXRvIMOgIGNvbnRyYXRhw6fDo28sIHNlbSBwcmVqdcOtem8gZGFzIHNhbsOnw7VlcyBwcmV2aXN0YXMgbmEgTGVpIG7CuiAxNC4xMzMsIGRlIDIwMjEsIGUgZW0gb3V0cmFzIGxlZ2lzbGHDp8O1ZXMgYXBsaWPDoXZlaXMuIFsuLi5dIMKnIDTCuiBBIHJlY3VzYSBpbmp1c3RpZmljYWRhIGRvIGFkanVkaWNhdMOhcmlvIGVtIGFzc2luYXIgbyBjb250cmF0byBvdSBhIGF0YSBkZSByZWdpc3RybyBkZSBwcmXDp28sIG91IGVtIGFjZWl0YXIgb3UgcmV0aXJhciBvIGluc3RydW1lbnRvIGVxdWl2YWxlbnRlIG5vIHByYXpvIGVzdGFiZWxlY2lkbyBwZWxhIEFkbWluaXN0cmHDp8OjbyBjYXJhY3Rlcml6YXLDoSBvIGRlc2N1bXByaW1lbnRvIHRvdGFsIGRhIG9icmlnYcOnw6NvIGFzc3VtaWRhIGUgbyBzdWplaXRhcsOhIMOgcyBwZW5hbGlkYWRlcyBsZWdhbG1lbnRlIGVzdGFiZWxlY2lkYXMgZSDDoCBpbWVkaWF0YSBwZXJkYSBkYSBnYXJhbnRpYSBkZSBwcm9wb3N0YSBlbSBmYXZvciBkbyDDs3Jnw6NvIG91IGVudGlkYWRlIHByb21vdG9yYSBkYSBsaWNpdGHDp8Ojby4KwqcgNcK6IEEgcmVncmEgZG8gwqcgNMK6IG7Do28gc2UgYXBsaWNhcsOhIGFvcyBsaWNpdGFudGVzIHJlbWFuZXNjZW50ZXMgY29udm9jYWRvcyBuYSBmb3JtYSBkbyBpbmNpc28gSSBkbyDCpyAzwrouIio+CgVBdXRvcho1Ly9zc2wuZ3N0YXRpYy5jb20vZG9jcy9jb21tb24vYmx1ZV9zaWxob3VldHRlOTYtMC5wbmcw7ufOgKkxOO7nzoCpMXJACgVBdXRvcho3CjUvL3NzbC5nc3RhdGljLmNvbS9kb2NzL2NvbW1vbi9ibHVlX3NpbGhvdWV0dGU5Ni0wLnBuZ3gAiAEBmgEGCAAQABgAqgHICBLFCE5vdGEgRXhwbGljYXRpdmE6IEEgc2Fuw6fDo28gc8OzIGNhYmUgc2UgbyByZW1hbmVzY2VudGUgasOhIGFzc2lub3UgYSBhdGEgZSBkZXBvaXMgbsOjbyBhdGVuZGUgY29udm9jYcOnw6NvIHBhcmEgZmlybWFyIGNvbnRyYXRvIG91IGluc3RydW1lbnRvIGVxdWl2YWxlbnRlOiAmcXVvdDtBcnQuIDQ1LiAgQXDDs3MgYSBob21vbG9nYcOnw6NvLCBvIGxpY2l0YW50ZSB2ZW5jZWRvciBzZXLDoSBjb252b2NhZG8gcGFyYSBhc3NpbmFyIG8gdGVybW8gZGUgY29udHJhdG8gb3UgYSBhdGEgZGUgcmVnaXN0cm8gZGUgcHJlw6dvcywgb3UgYWNlaXRhciBvdSByZXRpcmFyIG8gaW5zdHJ1bWVudG8gZXF1aXZhbGVudGUsIG5vIHByYXpvIGVzdGFiZWxlY2lkbyBubyBlZGl0YWwgZGUgbGljaXRhw6fDo28sIHNvYiBwZW5hIGRlIGRlY2FpciBvIGRpcmVpdG8gw6AgY29udHJhdGHDp8Ojbywgc2VtIHByZWp1w616byBkYXMgc2Fuw6fDtWVzIHByZXZpc3RhcyBuYSBMZWkgbsK6IDE0LjEzMywgZGUgMjAyMSwgZSBlbSBvdXRyYXMgbGVnaXNsYcOnw7VlcyBhcGxpY8OhdmVpcy4gWy4uLl0gwqcgNMK6IEEgcmVjdXNhIGluanVzdGlmaWNhZGEgZG8gYWRqdWRpY2F0w6FyaW8gZW0gYXNzaW5hciBvIGNvbnRyYXRvIG91IGEgYXRhIGRlIHJlZ2lzdHJvIGRlIHByZcOnbywgb3UgZW0gYWNlaXRhciBvdSByZXRpcmFyIG8gaW5zdHJ1bWVudG8gZXF1aXZhbGVudGUgbm8gcHJhem8gZXN0YWJlbGVjaWRvIHBlbGEgQWRtaW5pc3RyYcOnw6NvIGNhcmFjdGVyaXphcsOhIG8gZGVzY3VtcHJpbWVudG8gdG90YWwgZGEgb2JyaWdhw6fDo28gYXNzdW1pZGEgZSBvIHN1amVpdGFyw6Egw6BzIHBlbmFsaWRhZGVzIGxlZ2FsbWVudGUgZXN0YWJlbGVjaWRhcyBlIMOgIGltZWRpYXRhIHBlcmRhIGRhIGdhcmFudGlhIGRlIHByb3Bvc3RhIGVtIGZhdm9yIGRvIMOzcmfDo28gb3UgZW50aWRhZGUgcHJvbW90b3JhIGRhIGxpY2l0YcOnw6NvLjxicj7CpyA1wrogQSByZWdyYSBkbyDCpyA0wrogbsOjbyBzZSBhcGxpY2Fyw6EgYW9zIGxpY2l0YW50ZXMgcmVtYW5lc2NlbnRlcyBjb252b2NhZG9zIG5hIGZvcm1hIGRvIGluY2lzbyBJIGRvIMKnIDPCui4mcXVvdDuwAQC4AQEY7ufOgKkxIO7nzoCpMTAAQghraXguY210MyLMFQoLQUFBQTV2Q1ZZdEUSohUKC0FBQUE1dkNWWXRFEgtBQUFBNXZDVll0RRrOBgoJdGV4dC9odG1sEsAGTm90YSBFeHBsaWNhdGl2YTogQXJ0LiAzMi4gwqBTZXLDo28gb2JzZXJ2YWRhcyBhcyBzZWd1aW50ZXMgcmVncmFzIGRlIGNvbnRyb2xlIHBhcmEgYSBhZGVzw6NvIMOgIGF0YSBkZSByZWdpc3RybyBkZSBwcmXDp29zIGRlIHF1ZSB0cmF0YSBvIGFydC4gMzE6PGJyPkkgLSBhcyBhcXVpc2nDp8O1ZXMgb3UgYXMgY29udHJhdGHDp8O1ZXMgYWRpY2lvbmFpcyBuw6NvIHBvZGVyw6NvIGV4Y2VkZXIsIHBvciDDs3Jnw6NvIG91IGVudGlkYWRlLCBhIGNpbnF1ZW50YSBwb3IgY2VudG8gZG9zIHF1YW50aXRhdGl2b3MgZG9zIGl0ZW5zIGRvIGluc3RydW1lbnRvIGNvbnZvY2F0w7NyaW8gcmVnaXN0cmFkb3MgbmEgYXRhIGRlIHJlZ2lzdHJvIGRlIHByZcOnb3MgcGFyYSBvIMOzcmfDo28gb3UgYSBlbnRpZGFkZSBnZXJlbmNpYWRvcmEgZSBwYXJhIG9zIMOzcmfDo29zIG91IGFzIGVudGlkYWRlcyBwYXJ0aWNpcGFudGVzOyBlPGJyPklJIC0gbyBxdWFudGl0YXRpdm8gZGVjb3JyZW50ZSBkYXMgYWRlc8O1ZXMgbsOjbyBwb2RlcsOhIGV4Y2VkZXIsIG5hIHRvdGFsaWRhZGUsIGFvIGRvYnJvIGRvIHF1YW50aXRhdGl2byBkZSBjYWRhIGl0ZW0gcmVnaXN0cmFkbyBuYSBhdGEgZGUgcmVnaXN0cm8gZGUgcHJlw6dvcyBwYXJhIG8gw7NyZ8OjbyBvdSBhIGVudGlkYWRlIGdlcmVuY2lhZG9yYSBlIG9zIMOzcmfDo29zIG91IGFzIGVudGlkYWRlcyBwYXJ0aWNpcGFudGVzLCBpbmRlcGVuZGVudGVtZW50ZSBkbyBuw7ptZXJvIGRlIMOzcmfDo29zIG91IGVudGlkYWRlcyBuw6NvIHBhcnRpY2lwYW50ZXMgcXVlIGFkZXJpcmVtIMOgIGF0YSBkZSByZWdpc3RybyBkZSBwcmXDp29zLiLJBgoKdGV4dC9wbGFpbhK6Bk5vdGEgRXhwbGljYXRpdmE6IEFydC4gMzIuIMKgU2Vyw6NvIG9ic2VydmFkYXMgYXMgc2VndWludGVzIHJlZ3JhcyBkZSBjb250cm9sZSBwYXJhIGEgYWRlc8OjbyDDoCBhdGEgZGUgcmVnaXN0cm8gZGUgcHJlw6dvcyBkZSBxdWUgdHJhdGEgbyBhcnQuIDMxOgpJIC0gYXMgYXF1aXNpw6fDtWVzIG91IGFzIGNvbnRyYXRhw6fDtWVzIGFkaWNpb25haXMgbsOjbyBwb2RlcsOjbyBleGNlZGVyLCBwb3Igw7NyZ8OjbyBvdSBlbnRpZGFkZSwgYSBjaW5xdWVudGEgcG9yIGNlbnRvIGRvcyBxdWFudGl0YXRpdm9zIGRvcyBpdGVucyBkbyBpbnN0cnVtZW50byBjb252b2NhdMOzcmlvIHJlZ2lzdHJhZG9zIG5hIGF0YSBkZSByZWdpc3RybyBkZSBwcmXDp29zIHBhcmEgbyDDs3Jnw6NvIG91IGEgZW50aWRhZGUgZ2VyZW5jaWFkb3JhIGUgcGFyYSBvcyDDs3Jnw6NvcyBvdSBhcyBlbnRpZGFkZXMgcGFydGljaXBhbnRlczsgZQpJSSAtIG8gcXVhbnRpdGF0aXZvIGRlY29ycmVudGUgZGFzIGFkZXPDtWVzIG7Do28gcG9kZXLDoSBleGNlZGVyLCBuYSB0b3RhbGlkYWRlLCBhbyBkb2JybyBkbyBxdWFudGl0YXRpdm8gZGUgY2FkYSBpdGVtIHJlZ2lzdHJhZG8gbmEgYXRhIGRlIHJlZ2lzdHJvIGRlIHByZcOnb3MgcGFyYSBvIMOzcmfDo28gb3UgYSBlbnRpZGFkZSBnZXJlbmNpYWRvcmEgZSBvcyDDs3Jnw6NvcyBvdSBhcyBlbnRpZGFkZXMgcGFydGljaXBhbnRlcywgaW5kZXBlbmRlbnRlbWVudGUgZG8gbsO6bWVybyBkZSDDs3Jnw6NvcyBvdSBlbnRpZGFkZXMgbsOjbyBwYXJ0aWNpcGFudGVzIHF1ZSBhZGVyaXJlbSDDoCBhdGEgZGUgcmVnaXN0cm8gZGUgcHJlw6dvcy4qPgoFQXV0b3IaNS8vc3NsLmdzdGF0aWMuY29tL2RvY3MvY29tbW9uL2JsdWVfc2lsaG91ZXR0ZTk2LTAucG5nMO7nzoCpMTju586AqTFyQAoFQXV0b3IaNwo1Ly9zc2wuZ3N0YXRpYy5jb20vZG9jcy9jb21tb24vYmx1ZV9zaWxob3VldHRlOTYtMC5wbmd4AIgBAZoBBggAEAAYAKoBwwYSwAZOb3RhIEV4cGxpY2F0aXZhOiBBcnQuIDMyLiDCoFNlcsOjbyBvYnNlcnZhZGFzIGFzIHNlZ3VpbnRlcyByZWdyYXMgZGUgY29udHJvbGUgcGFyYSBhIGFkZXPDo28gw6AgYXRhIGRlIHJlZ2lzdHJvIGRlIHByZcOnb3MgZGUgcXVlIHRyYXRhIG8gYXJ0LiAzMTo8YnI+SSAtIGFzIGFxdWlzacOnw7VlcyBvdSBhcyBjb250cmF0YcOnw7VlcyBhZGljaW9uYWlzIG7Do28gcG9kZXLDo28gZXhjZWRlciwgcG9yIMOzcmfDo28gb3UgZW50aWRhZGUsIGEgY2lucXVlbnRhIHBvciBjZW50byBkb3MgcXVhbnRpdGF0aXZvcyBkb3MgaXRlbnMgZG8gaW5zdHJ1bWVudG8gY29udm9jYXTDs3JpbyByZWdpc3RyYWRvcyBuYSBhdGEgZGUgcmVnaXN0cm8gZGUgcHJlw6dvcyBwYXJhIG8gw7NyZ8OjbyBvdSBhIGVudGlkYWRlIGdlcmVuY2lhZG9yYSBlIHBhcmEgb3Mgw7NyZ8Ojb3Mgb3UgYXMgZW50aWRhZGVzIHBhcnRpY2lwYW50ZXM7IGU8YnI+SUkgLSBvIHF1YW50aXRhdGl2byBkZWNvcnJlbnRlIGRhcyBhZGVzw7VlcyBuw6NvIHBvZGVyw6EgZXhjZWRlciwgbmEgdG90YWxpZGFkZSwgYW8gZG9icm8gZG8gcXVhbnRpdGF0aXZvIGRlIGNhZGEgaXRlbSByZWdpc3RyYWRvIG5hIGF0YSBkZSByZWdpc3RybyBkZSBwcmXDp29zIHBhcmEgbyDDs3Jnw6NvIG91IGEgZW50aWRhZGUgZ2VyZW5jaWFkb3JhIGUgb3Mgw7NyZ8Ojb3Mgb3UgYXMgZW50aWRhZGVzIHBhcnRpY2lwYW50ZXMsIGluZGVwZW5kZW50ZW1lbnRlIGRvIG7Dum1lcm8gZGUgw7NyZ8Ojb3Mgb3UgZW50aWRhZGVzIG7Do28gcGFydGljaXBhbnRlcyBxdWUgYWRlcmlyZW0gw6AgYXRhIGRlIHJlZ2lzdHJvIGRlIHByZcOnb3MusAEAuAEBGO7nzoCpMSDu586AqTEwAEIIa2l4LmNtdDIi8wYKC0FBQUE1dkNWWXRJEskGCgtBQUFBNXZDVll0SRILQUFBQTV2Q1ZZdEka2QEKCXRleHQvaHRtbBLLAU5vdGEgRXhwbGljYXRpdmE6IFJlc3RyaW5naW5kby1zZSBvIHJlZXF1aWzDrWJyaW8gYSBhbGd1bnMgaXRlbnMgZm9ybmVjaWRvcyBlbSBjaXJjdW5zdMOibmNpYXMgZXNwZWPDrWZpY2FzLCBhIGF0YSBwb2RlcsOhIHByZXZlciBwcmXDp29zIGRpc3RpbnRvcyBuYSBmb3JtYSBkbyBhcnRpZ28gODIsIElJSSwgZGEgTGVpIG7CuiAxNC4xMzMsIGRlIDIwMjEuItoBCgp0ZXh0L3BsYWluEssBTm90YSBFeHBsaWNhdGl2YTogUmVzdHJpbmdpbmRvLXNlIG8gcmVlcXVpbMOtYnJpbyBhIGFsZ3VucyBpdGVucyBmb3JuZWNpZG9zIGVtIGNpcmN1bnN0w6JuY2lhcyBlc3BlY8OtZmljYXMsIGEgYXRhIHBvZGVyw6EgcHJldmVyIHByZcOnb3MgZGlzdGludG9zIG5hIGZvcm1hIGRvIGFydGlnbyA4MiwgSUlJLCBkYSBMZWkgbsK6IDE0LjEzMywgZGUgMjAyMS4qPgoFQXV0b3IaNS8vc3NsLmdzdGF0aWMuY29tL2RvY3MvY29tbW9uL2JsdWVfc2lsaG91ZXR0ZTk2LTAucG5nMO3nzoCpMTjt586AqTFyQAoFQXV0b3IaNwo1Ly9zc2wuZ3N0YXRpYy5jb20vZG9jcy9jb21tb24vYmx1ZV9zaWxob3VldHRlOTYtMC5wbmd4AIgBAZoBBggAEAAYAKoBzgESywFOb3RhIEV4cGxpY2F0aXZhOiBSZXN0cmluZ2luZG8tc2UgbyByZWVxdWlsw61icmlvIGEgYWxndW5zIGl0ZW5zIGZvcm5lY2lkb3MgZW0gY2lyY3Vuc3TDom5jaWFzIGVzcGVjw61maWNhcywgYSBhdGEgcG9kZXLDoSBwcmV2ZXIgcHJlw6dvcyBkaXN0aW50b3MgbmEgZm9ybWEgZG8gYXJ0aWdvIDgyLCBJSUksIGRhIExlaSBuwrogMTQuMTMzLCBkZSAyMDIxLrABALgBARjt586AqTEg7efOgKkxMABCCGtpeC5jbXQwIu4ICgtBQUFBNXZDVllzOBLECAoLQUFBQTV2Q1ZZczgSC0FBQUE1dkNWWXM4GrACCgl0ZXh0L2h0bWwSogJOb3RhIEV4cGxpY2F0aXZhOiBPIMKnM8K6IGRvIGFydC4gMjggZG8gRGVjcmV0byBuwrogMTEuNDYyLzIwMjMsIHByZXbDqjogJnF1b3Q7wqcgM8K6ICBOYSBoaXDDs3Rlc2UgZGUgY2FuY2VsYW1lbnRvIGRvIHJlZ2lzdHJvIGRvIGZvcm5lY2Vkb3IsIG8gw7NyZ8OjbyBvdSBhIGVudGlkYWRlIGdlcmVuY2lhZG9yYSBwb2RlcsOhIGNvbnZvY2FyIG9zIGxpY2l0YW50ZXMgcXVlIGNvbXDDtWVtIG8gY2FkYXN0cm8gZGUgcmVzZXJ2YSwgb2JzZXJ2YWRhIGEgb3JkZW0gZGUgY2xhc3NpZmljYcOnw6NvLiZxdW90OyKnAgoKdGV4dC9wbGFpbhKYAk5vdGEgRXhwbGljYXRpdmE6IE8gwqczwrogZG8gYXJ0LiAyOCBkbyBEZWNyZXRvIG7CuiAxMS40NjIvMjAyMywgcHJldsOqOiAiwqcgM8K6ICBOYSBoaXDDs3Rlc2UgZGUgY2FuY2VsYW1lbnRvIGRvIHJlZ2lzdHJvIGRvIGZvcm5lY2Vkb3IsIG8gw7NyZ8OjbyBvdSBhIGVudGlkYWRlIGdlcmVuY2lhZG9yYSBwb2RlcsOhIGNvbnZvY2FyIG9zIGxpY2l0YW50ZXMgcXVlIGNvbXDDtWVtIG8gY2FkYXN0cm8gZGUgcmVzZXJ2YSwgb2JzZXJ2YWRhIGEgb3JkZW0gZGUgY2xhc3NpZmljYcOnw6NvLiIqPgoFQXV0b3IaNS8vc3NsLmdzdGF0aWMuY29tL2RvY3MvY29tbW9uL2JsdWVfc2lsaG91ZXR0ZTk2LTAucG5nMO7nzoCpMTju586AqTFyQAoFQXV0b3IaNwo1Ly9zc2wuZ3N0YXRpYy5jb20vZG9jcy9jb21tb24vYmx1ZV9zaWxob3VldHRlOTYtMC5wbmd4AIgBAZoBBggAEAAYAKoBpQISogJOb3RhIEV4cGxpY2F0aXZhOiBPIMKnM8K6IGRvIGFydC4gMjggZG8gRGVjcmV0byBuwrogMTEuNDYyLzIwMjMsIHByZXbDqjogJnF1b3Q7wqcgM8K6ICBOYSBoaXDDs3Rlc2UgZGUgY2FuY2VsYW1lbnRvIGRvIHJlZ2lzdHJvIGRvIGZvcm5lY2Vkb3IsIG8gw7NyZ8OjbyBvdSBhIGVudGlkYWRlIGdlcmVuY2lhZG9yYSBwb2RlcsOhIGNvbnZvY2FyIG9zIGxpY2l0YW50ZXMgcXVlIGNvbXDDtWVtIG8gY2FkYXN0cm8gZGUgcmVzZXJ2YSwgb2JzZXJ2YWRhIGEgb3JkZW0gZGUgY2xhc3NpZmljYcOnw6NvLiZxdW90O7ABALgBARju586AqTEg7ufOgKkxMABCCGtpeC5jbXQxMglpZC5namRneHMyCmlkLjMwajB6bGwyCmlkLjFmb2I5dGUyCmlkLjN6bnlzaDcyCmlkLjJldDkycDAyCWlkLnR5amN3dDIKaWQuM2R5NnZrbTIKaWQuMXQzaDVzZjIKaWQuNGQzNG9nODgAciExSzNaTmYzVUZ5aUVrbUJyZ2VWQjIxMzZqa0FJeTdlUX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